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80FA9" w14:textId="77777777" w:rsidR="00D90E81" w:rsidRDefault="00D90E81" w:rsidP="0016341F">
      <w:pPr>
        <w:jc w:val="center"/>
        <w:rPr>
          <w:rFonts w:ascii="Bookman Old Style" w:hAnsi="Bookman Old Style"/>
          <w:b/>
          <w:sz w:val="24"/>
          <w:szCs w:val="24"/>
        </w:rPr>
      </w:pPr>
      <w:r>
        <w:rPr>
          <w:rFonts w:ascii="Bookman Old Style" w:hAnsi="Bookman Old Style"/>
          <w:b/>
          <w:noProof/>
          <w:sz w:val="24"/>
          <w:szCs w:val="24"/>
        </w:rPr>
        <w:drawing>
          <wp:inline distT="0" distB="0" distL="0" distR="0" wp14:anchorId="6D2FAF33" wp14:editId="2829AFE6">
            <wp:extent cx="1607820" cy="1607820"/>
            <wp:effectExtent l="0" t="0" r="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07820" cy="1607820"/>
                    </a:xfrm>
                    <a:prstGeom prst="rect">
                      <a:avLst/>
                    </a:prstGeom>
                  </pic:spPr>
                </pic:pic>
              </a:graphicData>
            </a:graphic>
          </wp:inline>
        </w:drawing>
      </w:r>
    </w:p>
    <w:p w14:paraId="22E8B69B" w14:textId="77777777" w:rsidR="00D90E81" w:rsidRDefault="00D90E81" w:rsidP="0016341F">
      <w:pPr>
        <w:jc w:val="center"/>
        <w:rPr>
          <w:rFonts w:ascii="Bookman Old Style" w:hAnsi="Bookman Old Style"/>
          <w:b/>
          <w:sz w:val="24"/>
          <w:szCs w:val="24"/>
        </w:rPr>
      </w:pPr>
    </w:p>
    <w:p w14:paraId="29A6AD77" w14:textId="7056A121" w:rsidR="0049188A" w:rsidRDefault="0049188A" w:rsidP="0016341F">
      <w:pPr>
        <w:jc w:val="center"/>
        <w:rPr>
          <w:rFonts w:ascii="Bookman Old Style" w:hAnsi="Bookman Old Style"/>
          <w:b/>
          <w:sz w:val="24"/>
          <w:szCs w:val="24"/>
        </w:rPr>
      </w:pPr>
      <w:r>
        <w:rPr>
          <w:rFonts w:ascii="Bookman Old Style" w:hAnsi="Bookman Old Style"/>
          <w:b/>
          <w:sz w:val="24"/>
          <w:szCs w:val="24"/>
        </w:rPr>
        <w:t>Frequently Asked</w:t>
      </w:r>
      <w:r w:rsidR="00E81DCE">
        <w:rPr>
          <w:rFonts w:ascii="Bookman Old Style" w:hAnsi="Bookman Old Style"/>
          <w:b/>
          <w:sz w:val="24"/>
          <w:szCs w:val="24"/>
        </w:rPr>
        <w:t xml:space="preserve"> </w:t>
      </w:r>
      <w:r w:rsidR="00F64CAC" w:rsidRPr="00680CD6">
        <w:rPr>
          <w:rFonts w:ascii="Bookman Old Style" w:hAnsi="Bookman Old Style"/>
          <w:b/>
          <w:sz w:val="24"/>
          <w:szCs w:val="24"/>
        </w:rPr>
        <w:t>Questions</w:t>
      </w:r>
    </w:p>
    <w:p w14:paraId="00000001" w14:textId="6189CE5E" w:rsidR="008B0757" w:rsidRDefault="00F64CAC" w:rsidP="0016341F">
      <w:pPr>
        <w:jc w:val="center"/>
        <w:rPr>
          <w:rFonts w:ascii="Bookman Old Style" w:hAnsi="Bookman Old Style"/>
          <w:b/>
          <w:sz w:val="24"/>
          <w:szCs w:val="24"/>
        </w:rPr>
      </w:pPr>
      <w:r w:rsidRPr="00680CD6">
        <w:rPr>
          <w:rFonts w:ascii="Bookman Old Style" w:hAnsi="Bookman Old Style"/>
          <w:b/>
          <w:sz w:val="24"/>
          <w:szCs w:val="24"/>
        </w:rPr>
        <w:t>Supporting Indigenous Land Relationships</w:t>
      </w:r>
      <w:r w:rsidR="00502EED">
        <w:rPr>
          <w:rFonts w:ascii="Bookman Old Style" w:hAnsi="Bookman Old Style"/>
          <w:b/>
          <w:sz w:val="24"/>
          <w:szCs w:val="24"/>
        </w:rPr>
        <w:t xml:space="preserve"> – </w:t>
      </w:r>
      <w:r w:rsidR="00282B77">
        <w:rPr>
          <w:rFonts w:ascii="Bookman Old Style" w:hAnsi="Bookman Old Style"/>
          <w:b/>
          <w:sz w:val="24"/>
          <w:szCs w:val="24"/>
        </w:rPr>
        <w:t>A</w:t>
      </w:r>
      <w:r w:rsidR="00502EED">
        <w:rPr>
          <w:rFonts w:ascii="Bookman Old Style" w:hAnsi="Bookman Old Style"/>
          <w:b/>
          <w:sz w:val="24"/>
          <w:szCs w:val="24"/>
        </w:rPr>
        <w:t xml:space="preserve"> Legal An</w:t>
      </w:r>
      <w:r w:rsidR="00282B77">
        <w:rPr>
          <w:rFonts w:ascii="Bookman Old Style" w:hAnsi="Bookman Old Style"/>
          <w:b/>
          <w:sz w:val="24"/>
          <w:szCs w:val="24"/>
        </w:rPr>
        <w:t>alysis</w:t>
      </w:r>
    </w:p>
    <w:p w14:paraId="00000002" w14:textId="77777777" w:rsidR="008B0757" w:rsidRPr="00680CD6" w:rsidRDefault="008B0757">
      <w:pPr>
        <w:rPr>
          <w:rFonts w:ascii="Bookman Old Style" w:hAnsi="Bookman Old Style"/>
          <w:i/>
          <w:sz w:val="24"/>
          <w:szCs w:val="24"/>
        </w:rPr>
      </w:pPr>
    </w:p>
    <w:p w14:paraId="00000003" w14:textId="058B4E9F" w:rsidR="008B0757" w:rsidRDefault="00F64CAC">
      <w:pPr>
        <w:rPr>
          <w:rFonts w:ascii="Bookman Old Style" w:hAnsi="Bookman Old Style"/>
          <w:i/>
          <w:sz w:val="24"/>
          <w:szCs w:val="24"/>
        </w:rPr>
      </w:pPr>
      <w:r w:rsidRPr="00680CD6">
        <w:rPr>
          <w:rFonts w:ascii="Bookman Old Style" w:hAnsi="Bookman Old Style"/>
          <w:i/>
          <w:sz w:val="24"/>
          <w:szCs w:val="24"/>
        </w:rPr>
        <w:t xml:space="preserve">Below, we present perceived barriers to land back and </w:t>
      </w:r>
      <w:proofErr w:type="spellStart"/>
      <w:r w:rsidRPr="00680CD6">
        <w:rPr>
          <w:rFonts w:ascii="Bookman Old Style" w:hAnsi="Bookman Old Style"/>
          <w:i/>
          <w:sz w:val="24"/>
          <w:szCs w:val="24"/>
        </w:rPr>
        <w:t>rematriation</w:t>
      </w:r>
      <w:proofErr w:type="spellEnd"/>
      <w:r w:rsidRPr="00680CD6">
        <w:rPr>
          <w:rFonts w:ascii="Bookman Old Style" w:hAnsi="Bookman Old Style"/>
          <w:i/>
          <w:sz w:val="24"/>
          <w:szCs w:val="24"/>
        </w:rPr>
        <w:t xml:space="preserve"> efforts that we hear invoked by some in the land trust</w:t>
      </w:r>
      <w:r w:rsidR="00502EED">
        <w:rPr>
          <w:rFonts w:ascii="Bookman Old Style" w:hAnsi="Bookman Old Style"/>
          <w:i/>
          <w:sz w:val="24"/>
          <w:szCs w:val="24"/>
        </w:rPr>
        <w:t>/land holding</w:t>
      </w:r>
      <w:r w:rsidRPr="00680CD6">
        <w:rPr>
          <w:rFonts w:ascii="Bookman Old Style" w:hAnsi="Bookman Old Style"/>
          <w:i/>
          <w:sz w:val="24"/>
          <w:szCs w:val="24"/>
        </w:rPr>
        <w:t xml:space="preserve"> community. These perceived challenges drive us to questions about the legal underpinnings of these barriers and opportunities to work around them, rather than accepting them as reasons not to take actions to support land back and </w:t>
      </w:r>
      <w:proofErr w:type="spellStart"/>
      <w:r w:rsidRPr="00680CD6">
        <w:rPr>
          <w:rFonts w:ascii="Bookman Old Style" w:hAnsi="Bookman Old Style"/>
          <w:i/>
          <w:sz w:val="24"/>
          <w:szCs w:val="24"/>
        </w:rPr>
        <w:t>rematriation</w:t>
      </w:r>
      <w:proofErr w:type="spellEnd"/>
      <w:r w:rsidRPr="00680CD6">
        <w:rPr>
          <w:rFonts w:ascii="Bookman Old Style" w:hAnsi="Bookman Old Style"/>
          <w:i/>
          <w:sz w:val="24"/>
          <w:szCs w:val="24"/>
        </w:rPr>
        <w:t xml:space="preserve">. </w:t>
      </w:r>
      <w:r w:rsidR="00262E86">
        <w:rPr>
          <w:rFonts w:ascii="Bookman Old Style" w:hAnsi="Bookman Old Style"/>
          <w:i/>
          <w:sz w:val="24"/>
          <w:szCs w:val="24"/>
        </w:rPr>
        <w:t xml:space="preserve">First Light reached out to Rob Levin, a Maine attorney who specializes in land conservation and nonprofit organizations, to help address some of these questions. </w:t>
      </w:r>
      <w:r w:rsidR="00F632C5">
        <w:rPr>
          <w:rFonts w:ascii="Bookman Old Style" w:hAnsi="Bookman Old Style"/>
          <w:i/>
          <w:sz w:val="24"/>
          <w:szCs w:val="24"/>
        </w:rPr>
        <w:t>While the review is focused specifically on law</w:t>
      </w:r>
      <w:r w:rsidR="00502EED">
        <w:rPr>
          <w:rFonts w:ascii="Bookman Old Style" w:hAnsi="Bookman Old Style"/>
          <w:i/>
          <w:sz w:val="24"/>
          <w:szCs w:val="24"/>
        </w:rPr>
        <w:t>s</w:t>
      </w:r>
      <w:r w:rsidR="00F632C5">
        <w:rPr>
          <w:rFonts w:ascii="Bookman Old Style" w:hAnsi="Bookman Old Style"/>
          <w:i/>
          <w:sz w:val="24"/>
          <w:szCs w:val="24"/>
        </w:rPr>
        <w:t xml:space="preserve"> related to land trusts as 501(c)(3) public charities and nonprofit corporations, we also believe this review may be useful to other types of organizations that are part of the First Light community.</w:t>
      </w:r>
      <w:r w:rsidR="00502EED">
        <w:rPr>
          <w:rFonts w:ascii="Bookman Old Style" w:hAnsi="Bookman Old Style"/>
          <w:i/>
          <w:sz w:val="24"/>
          <w:szCs w:val="24"/>
        </w:rPr>
        <w:t xml:space="preserve"> Furthermore, although this FAQ is especially tailored to Maine-based organizations, much of the analysis will apply to organizations in other states as well.</w:t>
      </w:r>
    </w:p>
    <w:p w14:paraId="73611CB9" w14:textId="77777777" w:rsidR="00F632C5" w:rsidRDefault="00F632C5">
      <w:pPr>
        <w:rPr>
          <w:rFonts w:ascii="Bookman Old Style" w:hAnsi="Bookman Old Style"/>
          <w:i/>
          <w:sz w:val="24"/>
          <w:szCs w:val="24"/>
        </w:rPr>
      </w:pPr>
    </w:p>
    <w:p w14:paraId="3CE52F58" w14:textId="0403443E" w:rsidR="00F632C5" w:rsidRPr="00680CD6" w:rsidRDefault="00F632C5">
      <w:pPr>
        <w:rPr>
          <w:rFonts w:ascii="Bookman Old Style" w:hAnsi="Bookman Old Style"/>
          <w:i/>
          <w:sz w:val="24"/>
          <w:szCs w:val="24"/>
        </w:rPr>
      </w:pPr>
      <w:r>
        <w:rPr>
          <w:rFonts w:ascii="Bookman Old Style" w:hAnsi="Bookman Old Style"/>
          <w:i/>
          <w:sz w:val="24"/>
          <w:szCs w:val="24"/>
        </w:rPr>
        <w:t xml:space="preserve">Finally, we recognize the tension in addressing Indigenous land sovereignty while still operating within a colonized legal system. We see a need for more creative and </w:t>
      </w:r>
      <w:proofErr w:type="gramStart"/>
      <w:r>
        <w:rPr>
          <w:rFonts w:ascii="Bookman Old Style" w:hAnsi="Bookman Old Style"/>
          <w:i/>
          <w:sz w:val="24"/>
          <w:szCs w:val="24"/>
        </w:rPr>
        <w:t>legally-defensible</w:t>
      </w:r>
      <w:proofErr w:type="gramEnd"/>
      <w:r>
        <w:rPr>
          <w:rFonts w:ascii="Bookman Old Style" w:hAnsi="Bookman Old Style"/>
          <w:i/>
          <w:sz w:val="24"/>
          <w:szCs w:val="24"/>
        </w:rPr>
        <w:t xml:space="preserve"> approaches to land return, and hope this document serves as </w:t>
      </w:r>
      <w:r w:rsidR="000543F3">
        <w:rPr>
          <w:rFonts w:ascii="Bookman Old Style" w:hAnsi="Bookman Old Style"/>
          <w:i/>
          <w:sz w:val="24"/>
          <w:szCs w:val="24"/>
        </w:rPr>
        <w:t>a starting place</w:t>
      </w:r>
      <w:r>
        <w:rPr>
          <w:rFonts w:ascii="Bookman Old Style" w:hAnsi="Bookman Old Style"/>
          <w:i/>
          <w:sz w:val="24"/>
          <w:szCs w:val="24"/>
        </w:rPr>
        <w:t xml:space="preserve"> for </w:t>
      </w:r>
      <w:r w:rsidR="000543F3">
        <w:rPr>
          <w:rFonts w:ascii="Bookman Old Style" w:hAnsi="Bookman Old Style"/>
          <w:i/>
          <w:sz w:val="24"/>
          <w:szCs w:val="24"/>
        </w:rPr>
        <w:t xml:space="preserve">re-examining our current </w:t>
      </w:r>
      <w:r w:rsidR="00191609">
        <w:rPr>
          <w:rFonts w:ascii="Bookman Old Style" w:hAnsi="Bookman Old Style"/>
          <w:i/>
          <w:sz w:val="24"/>
          <w:szCs w:val="24"/>
        </w:rPr>
        <w:t>practices</w:t>
      </w:r>
      <w:r w:rsidR="000543F3">
        <w:rPr>
          <w:rFonts w:ascii="Bookman Old Style" w:hAnsi="Bookman Old Style"/>
          <w:i/>
          <w:sz w:val="24"/>
          <w:szCs w:val="24"/>
        </w:rPr>
        <w:t xml:space="preserve"> and </w:t>
      </w:r>
      <w:r>
        <w:rPr>
          <w:rFonts w:ascii="Bookman Old Style" w:hAnsi="Bookman Old Style"/>
          <w:i/>
          <w:sz w:val="24"/>
          <w:szCs w:val="24"/>
        </w:rPr>
        <w:t>expanding what we see as possible.</w:t>
      </w:r>
    </w:p>
    <w:p w14:paraId="00000004" w14:textId="77777777" w:rsidR="008B0757" w:rsidRPr="00680CD6" w:rsidRDefault="008B0757">
      <w:pPr>
        <w:rPr>
          <w:rFonts w:ascii="Bookman Old Style" w:hAnsi="Bookman Old Style"/>
          <w:b/>
          <w:sz w:val="24"/>
          <w:szCs w:val="24"/>
        </w:rPr>
      </w:pPr>
    </w:p>
    <w:p w14:paraId="00000005" w14:textId="576E069F" w:rsidR="008B0757" w:rsidRPr="00680CD6" w:rsidRDefault="00F64CAC" w:rsidP="009E6B99">
      <w:pPr>
        <w:numPr>
          <w:ilvl w:val="0"/>
          <w:numId w:val="1"/>
        </w:numPr>
        <w:ind w:left="360"/>
        <w:rPr>
          <w:rFonts w:ascii="Bookman Old Style" w:hAnsi="Bookman Old Style"/>
          <w:sz w:val="24"/>
          <w:szCs w:val="24"/>
        </w:rPr>
      </w:pPr>
      <w:r w:rsidRPr="00680CD6">
        <w:rPr>
          <w:rFonts w:ascii="Bookman Old Style" w:hAnsi="Bookman Old Style"/>
          <w:b/>
          <w:sz w:val="24"/>
          <w:szCs w:val="24"/>
        </w:rPr>
        <w:t>Perceived Barrier:</w:t>
      </w:r>
      <w:r w:rsidRPr="00680CD6">
        <w:rPr>
          <w:rFonts w:ascii="Bookman Old Style" w:hAnsi="Bookman Old Style"/>
          <w:sz w:val="24"/>
          <w:szCs w:val="24"/>
        </w:rPr>
        <w:t xml:space="preserve"> Land back centers around current landholders returning (not selling) their land to Indigenous groups, but sometimes land trusts claim they are legally restricted from reducing their assets through this type of donation.</w:t>
      </w:r>
    </w:p>
    <w:p w14:paraId="42B50337" w14:textId="77777777" w:rsidR="009E6B99" w:rsidRDefault="009E6B99" w:rsidP="009E6B99">
      <w:pPr>
        <w:ind w:left="360"/>
        <w:rPr>
          <w:rFonts w:ascii="Bookman Old Style" w:hAnsi="Bookman Old Style"/>
          <w:b/>
          <w:sz w:val="24"/>
          <w:szCs w:val="24"/>
        </w:rPr>
      </w:pPr>
    </w:p>
    <w:p w14:paraId="00000006" w14:textId="5FB4537F" w:rsidR="008B0757" w:rsidRPr="00680CD6" w:rsidRDefault="00F64CAC" w:rsidP="009E6B99">
      <w:pPr>
        <w:ind w:left="360"/>
        <w:rPr>
          <w:rFonts w:ascii="Bookman Old Style" w:hAnsi="Bookman Old Style"/>
          <w:sz w:val="24"/>
          <w:szCs w:val="24"/>
        </w:rPr>
      </w:pPr>
      <w:r w:rsidRPr="00680CD6">
        <w:rPr>
          <w:rFonts w:ascii="Bookman Old Style" w:hAnsi="Bookman Old Style"/>
          <w:b/>
          <w:sz w:val="24"/>
          <w:szCs w:val="24"/>
        </w:rPr>
        <w:lastRenderedPageBreak/>
        <w:t>Question:</w:t>
      </w:r>
      <w:r w:rsidRPr="00680CD6">
        <w:rPr>
          <w:rFonts w:ascii="Bookman Old Style" w:hAnsi="Bookman Old Style"/>
          <w:sz w:val="24"/>
          <w:szCs w:val="24"/>
        </w:rPr>
        <w:t xml:space="preserve"> Does </w:t>
      </w:r>
      <w:r w:rsidR="00502EED">
        <w:rPr>
          <w:rFonts w:ascii="Bookman Old Style" w:hAnsi="Bookman Old Style"/>
          <w:sz w:val="24"/>
          <w:szCs w:val="24"/>
        </w:rPr>
        <w:t xml:space="preserve">federal or state </w:t>
      </w:r>
      <w:r w:rsidRPr="00680CD6">
        <w:rPr>
          <w:rFonts w:ascii="Bookman Old Style" w:hAnsi="Bookman Old Style"/>
          <w:sz w:val="24"/>
          <w:szCs w:val="24"/>
        </w:rPr>
        <w:t xml:space="preserve">nonprofit law forbid a nonprofit from donating </w:t>
      </w:r>
      <w:r w:rsidR="007D76CB">
        <w:rPr>
          <w:rFonts w:ascii="Bookman Old Style" w:hAnsi="Bookman Old Style"/>
          <w:sz w:val="24"/>
          <w:szCs w:val="24"/>
        </w:rPr>
        <w:t>land or other</w:t>
      </w:r>
      <w:r w:rsidRPr="00680CD6">
        <w:rPr>
          <w:rFonts w:ascii="Bookman Old Style" w:hAnsi="Bookman Old Style"/>
          <w:sz w:val="24"/>
          <w:szCs w:val="24"/>
        </w:rPr>
        <w:t xml:space="preserve"> assets to an Indigenous group?</w:t>
      </w:r>
    </w:p>
    <w:p w14:paraId="44859FB1" w14:textId="554C1C78" w:rsidR="00447A23" w:rsidRPr="00680CD6" w:rsidRDefault="00447A23" w:rsidP="00447A23">
      <w:pPr>
        <w:rPr>
          <w:rFonts w:ascii="Bookman Old Style" w:hAnsi="Bookman Old Style"/>
          <w:b/>
          <w:sz w:val="24"/>
          <w:szCs w:val="24"/>
        </w:rPr>
      </w:pPr>
    </w:p>
    <w:p w14:paraId="63ED1942" w14:textId="3300D77B" w:rsidR="00447A23" w:rsidRPr="00680CD6" w:rsidRDefault="00447A23" w:rsidP="00447A23">
      <w:pPr>
        <w:rPr>
          <w:rFonts w:ascii="Bookman Old Style" w:hAnsi="Bookman Old Style"/>
          <w:bCs/>
          <w:sz w:val="24"/>
          <w:szCs w:val="24"/>
        </w:rPr>
      </w:pPr>
      <w:r w:rsidRPr="00680CD6">
        <w:rPr>
          <w:rFonts w:ascii="Bookman Old Style" w:hAnsi="Bookman Old Style"/>
          <w:b/>
          <w:sz w:val="24"/>
          <w:szCs w:val="24"/>
        </w:rPr>
        <w:t>Rob Levin Reply:</w:t>
      </w:r>
      <w:r w:rsidRPr="00680CD6">
        <w:rPr>
          <w:rFonts w:ascii="Bookman Old Style" w:hAnsi="Bookman Old Style"/>
          <w:bCs/>
          <w:sz w:val="24"/>
          <w:szCs w:val="24"/>
        </w:rPr>
        <w:t xml:space="preserve"> Although there may be a few rare exceptions, just about every land trust is a 501(c)(3) public charity and a nonprofit corporation under state law (as opposed to a 501(c)(3) private foundation or a non-501(c)(3) nonprofit). As such, various federal and state laws and regulations apply to ensure that charitable dollars are remaining true to charitable missions. The Internal Revenue Service (IRS) enforces these laws at the federal level, while for the most part state Attorneys General enforce any state laws. </w:t>
      </w:r>
    </w:p>
    <w:p w14:paraId="42575BBB" w14:textId="2C66EACE" w:rsidR="00447A23" w:rsidRPr="00680CD6" w:rsidRDefault="00447A23" w:rsidP="00447A23">
      <w:pPr>
        <w:rPr>
          <w:rFonts w:ascii="Bookman Old Style" w:hAnsi="Bookman Old Style"/>
          <w:bCs/>
          <w:sz w:val="24"/>
          <w:szCs w:val="24"/>
        </w:rPr>
      </w:pPr>
    </w:p>
    <w:p w14:paraId="1F24FE22" w14:textId="1DECEC70" w:rsidR="00C149A7" w:rsidRDefault="00447A23" w:rsidP="00447A23">
      <w:pPr>
        <w:rPr>
          <w:rFonts w:ascii="Bookman Old Style" w:hAnsi="Bookman Old Style"/>
          <w:bCs/>
          <w:sz w:val="24"/>
          <w:szCs w:val="24"/>
        </w:rPr>
      </w:pPr>
      <w:r w:rsidRPr="00680CD6">
        <w:rPr>
          <w:rFonts w:ascii="Bookman Old Style" w:hAnsi="Bookman Old Style"/>
          <w:bCs/>
          <w:sz w:val="24"/>
          <w:szCs w:val="24"/>
        </w:rPr>
        <w:t xml:space="preserve">As a general matter, these state and federal charitable laws do not prevent land back projects. It is true that a land trust must be faithful to its charitable purposes, but a typical organization’s purpose statement (as articulated in its Articles of Incorporation and Bylaws) includes a specific </w:t>
      </w:r>
      <w:r w:rsidR="003420F0" w:rsidRPr="00680CD6">
        <w:rPr>
          <w:rFonts w:ascii="Bookman Old Style" w:hAnsi="Bookman Old Style"/>
          <w:bCs/>
          <w:sz w:val="24"/>
          <w:szCs w:val="24"/>
        </w:rPr>
        <w:t>purpose of land conservation, accompanied by a broad reference to general charitable purposes.</w:t>
      </w:r>
      <w:r w:rsidR="00680CD6">
        <w:rPr>
          <w:rStyle w:val="FootnoteReference"/>
          <w:rFonts w:ascii="Bookman Old Style" w:hAnsi="Bookman Old Style"/>
          <w:bCs/>
          <w:sz w:val="24"/>
          <w:szCs w:val="24"/>
        </w:rPr>
        <w:footnoteReference w:id="1"/>
      </w:r>
      <w:r w:rsidR="000B33E7">
        <w:rPr>
          <w:rFonts w:ascii="Bookman Old Style" w:hAnsi="Bookman Old Style"/>
          <w:bCs/>
          <w:sz w:val="24"/>
          <w:szCs w:val="24"/>
        </w:rPr>
        <w:t xml:space="preserve"> </w:t>
      </w:r>
      <w:r w:rsidR="0024716F">
        <w:rPr>
          <w:rFonts w:ascii="Bookman Old Style" w:hAnsi="Bookman Old Style"/>
          <w:bCs/>
          <w:sz w:val="24"/>
          <w:szCs w:val="24"/>
        </w:rPr>
        <w:t>The</w:t>
      </w:r>
      <w:r w:rsidR="00F34F02">
        <w:rPr>
          <w:rFonts w:ascii="Bookman Old Style" w:hAnsi="Bookman Old Style"/>
          <w:bCs/>
          <w:sz w:val="24"/>
          <w:szCs w:val="24"/>
        </w:rPr>
        <w:t xml:space="preserve"> broad reference to charitable purposes provides a great deal of flexibility, and is enough to </w:t>
      </w:r>
      <w:r w:rsidR="0024716F">
        <w:rPr>
          <w:rFonts w:ascii="Bookman Old Style" w:hAnsi="Bookman Old Style"/>
          <w:bCs/>
          <w:sz w:val="24"/>
          <w:szCs w:val="24"/>
        </w:rPr>
        <w:t>provide legal authority for</w:t>
      </w:r>
      <w:r w:rsidR="00F34F02">
        <w:rPr>
          <w:rFonts w:ascii="Bookman Old Style" w:hAnsi="Bookman Old Style"/>
          <w:bCs/>
          <w:sz w:val="24"/>
          <w:szCs w:val="24"/>
        </w:rPr>
        <w:t xml:space="preserve"> a typical land back project. </w:t>
      </w:r>
    </w:p>
    <w:p w14:paraId="58A33557" w14:textId="0842359B" w:rsidR="00222A13" w:rsidRDefault="00222A13" w:rsidP="00447A23">
      <w:pPr>
        <w:rPr>
          <w:rFonts w:ascii="Bookman Old Style" w:hAnsi="Bookman Old Style"/>
          <w:bCs/>
          <w:sz w:val="24"/>
          <w:szCs w:val="24"/>
        </w:rPr>
      </w:pPr>
    </w:p>
    <w:p w14:paraId="019B75D0" w14:textId="082C3C8A" w:rsidR="00D577EA" w:rsidRDefault="00222A13" w:rsidP="00447A23">
      <w:pPr>
        <w:rPr>
          <w:rFonts w:ascii="Bookman Old Style" w:hAnsi="Bookman Old Style"/>
          <w:bCs/>
          <w:sz w:val="24"/>
          <w:szCs w:val="24"/>
        </w:rPr>
      </w:pPr>
      <w:r>
        <w:rPr>
          <w:rFonts w:ascii="Bookman Old Style" w:hAnsi="Bookman Old Style"/>
          <w:bCs/>
          <w:sz w:val="24"/>
          <w:szCs w:val="24"/>
        </w:rPr>
        <w:t xml:space="preserve">The term “charitable” has been defined and interpreted by the IRS in </w:t>
      </w:r>
      <w:proofErr w:type="gramStart"/>
      <w:r>
        <w:rPr>
          <w:rFonts w:ascii="Bookman Old Style" w:hAnsi="Bookman Old Style"/>
          <w:bCs/>
          <w:sz w:val="24"/>
          <w:szCs w:val="24"/>
        </w:rPr>
        <w:t>many different ways</w:t>
      </w:r>
      <w:proofErr w:type="gramEnd"/>
      <w:r>
        <w:rPr>
          <w:rFonts w:ascii="Bookman Old Style" w:hAnsi="Bookman Old Style"/>
          <w:bCs/>
          <w:sz w:val="24"/>
          <w:szCs w:val="24"/>
        </w:rPr>
        <w:t xml:space="preserve">. In particular, </w:t>
      </w:r>
      <w:r w:rsidR="004D59D3">
        <w:rPr>
          <w:rFonts w:ascii="Bookman Old Style" w:hAnsi="Bookman Old Style"/>
          <w:bCs/>
          <w:sz w:val="24"/>
          <w:szCs w:val="24"/>
        </w:rPr>
        <w:t xml:space="preserve">the applicable Regulation </w:t>
      </w:r>
      <w:r>
        <w:rPr>
          <w:rFonts w:ascii="Bookman Old Style" w:hAnsi="Bookman Old Style"/>
          <w:bCs/>
          <w:sz w:val="24"/>
          <w:szCs w:val="24"/>
        </w:rPr>
        <w:t>provides that t</w:t>
      </w:r>
      <w:r w:rsidRPr="00222A13">
        <w:rPr>
          <w:rFonts w:ascii="Bookman Old Style" w:hAnsi="Bookman Old Style"/>
          <w:bCs/>
          <w:sz w:val="24"/>
          <w:szCs w:val="24"/>
        </w:rPr>
        <w:t xml:space="preserve">he </w:t>
      </w:r>
      <w:r w:rsidR="0024716F">
        <w:rPr>
          <w:rFonts w:ascii="Bookman Old Style" w:hAnsi="Bookman Old Style"/>
          <w:bCs/>
          <w:sz w:val="24"/>
          <w:szCs w:val="24"/>
        </w:rPr>
        <w:t>word</w:t>
      </w:r>
      <w:r w:rsidRPr="00222A13">
        <w:rPr>
          <w:rFonts w:ascii="Bookman Old Style" w:hAnsi="Bookman Old Style"/>
          <w:bCs/>
          <w:sz w:val="24"/>
          <w:szCs w:val="24"/>
        </w:rPr>
        <w:t xml:space="preserve"> "charitable" includes</w:t>
      </w:r>
      <w:r w:rsidR="00D577EA">
        <w:rPr>
          <w:rFonts w:ascii="Bookman Old Style" w:hAnsi="Bookman Old Style"/>
          <w:bCs/>
          <w:sz w:val="24"/>
          <w:szCs w:val="24"/>
        </w:rPr>
        <w:t xml:space="preserve"> “r</w:t>
      </w:r>
      <w:r w:rsidR="00D577EA" w:rsidRPr="00D577EA">
        <w:rPr>
          <w:rFonts w:ascii="Bookman Old Style" w:hAnsi="Bookman Old Style"/>
          <w:bCs/>
          <w:sz w:val="24"/>
          <w:szCs w:val="24"/>
        </w:rPr>
        <w:t>elief of the poor and distressed or of the underprivileged</w:t>
      </w:r>
      <w:r w:rsidR="00D577EA">
        <w:rPr>
          <w:rFonts w:ascii="Bookman Old Style" w:hAnsi="Bookman Old Style"/>
          <w:bCs/>
          <w:sz w:val="24"/>
          <w:szCs w:val="24"/>
        </w:rPr>
        <w:t>,” as well as eliminating “</w:t>
      </w:r>
      <w:r w:rsidR="00D577EA" w:rsidRPr="00D577EA">
        <w:rPr>
          <w:rFonts w:ascii="Bookman Old Style" w:hAnsi="Bookman Old Style"/>
          <w:bCs/>
          <w:sz w:val="24"/>
          <w:szCs w:val="24"/>
        </w:rPr>
        <w:t>prejudice and discrimination</w:t>
      </w:r>
      <w:r w:rsidR="00D577EA">
        <w:rPr>
          <w:rFonts w:ascii="Bookman Old Style" w:hAnsi="Bookman Old Style"/>
          <w:bCs/>
          <w:sz w:val="24"/>
          <w:szCs w:val="24"/>
        </w:rPr>
        <w:t>.”</w:t>
      </w:r>
      <w:r w:rsidR="004D59D3">
        <w:rPr>
          <w:rStyle w:val="FootnoteReference"/>
          <w:rFonts w:ascii="Bookman Old Style" w:hAnsi="Bookman Old Style"/>
          <w:bCs/>
          <w:sz w:val="24"/>
          <w:szCs w:val="24"/>
        </w:rPr>
        <w:footnoteReference w:id="2"/>
      </w:r>
      <w:r w:rsidR="00D577EA">
        <w:rPr>
          <w:rFonts w:ascii="Bookman Old Style" w:hAnsi="Bookman Old Style"/>
          <w:bCs/>
          <w:sz w:val="24"/>
          <w:szCs w:val="24"/>
        </w:rPr>
        <w:t xml:space="preserve"> Although we can’t generalize and say that every Indigenous organization </w:t>
      </w:r>
      <w:r w:rsidR="004D59D3">
        <w:rPr>
          <w:rFonts w:ascii="Bookman Old Style" w:hAnsi="Bookman Old Style"/>
          <w:bCs/>
          <w:sz w:val="24"/>
          <w:szCs w:val="24"/>
        </w:rPr>
        <w:t xml:space="preserve">or government </w:t>
      </w:r>
      <w:r w:rsidR="00D577EA">
        <w:rPr>
          <w:rFonts w:ascii="Bookman Old Style" w:hAnsi="Bookman Old Style"/>
          <w:bCs/>
          <w:sz w:val="24"/>
          <w:szCs w:val="24"/>
        </w:rPr>
        <w:t>is poor</w:t>
      </w:r>
      <w:r w:rsidR="004D59D3">
        <w:rPr>
          <w:rFonts w:ascii="Bookman Old Style" w:hAnsi="Bookman Old Style"/>
          <w:bCs/>
          <w:sz w:val="24"/>
          <w:szCs w:val="24"/>
        </w:rPr>
        <w:t xml:space="preserve"> or d</w:t>
      </w:r>
      <w:r w:rsidR="00D577EA">
        <w:rPr>
          <w:rFonts w:ascii="Bookman Old Style" w:hAnsi="Bookman Old Style"/>
          <w:bCs/>
          <w:sz w:val="24"/>
          <w:szCs w:val="24"/>
        </w:rPr>
        <w:t xml:space="preserve">istressed or underprivileged, unfortunately those terms do accurately describe many of the conditions faced by these </w:t>
      </w:r>
      <w:r w:rsidR="0024716F">
        <w:rPr>
          <w:rFonts w:ascii="Bookman Old Style" w:hAnsi="Bookman Old Style"/>
          <w:bCs/>
          <w:sz w:val="24"/>
          <w:szCs w:val="24"/>
        </w:rPr>
        <w:t>groups</w:t>
      </w:r>
      <w:r w:rsidR="00D577EA">
        <w:rPr>
          <w:rFonts w:ascii="Bookman Old Style" w:hAnsi="Bookman Old Style"/>
          <w:bCs/>
          <w:sz w:val="24"/>
          <w:szCs w:val="24"/>
        </w:rPr>
        <w:t xml:space="preserve">. </w:t>
      </w:r>
      <w:r w:rsidR="004D59D3">
        <w:rPr>
          <w:rFonts w:ascii="Bookman Old Style" w:hAnsi="Bookman Old Style"/>
          <w:bCs/>
          <w:sz w:val="24"/>
          <w:szCs w:val="24"/>
        </w:rPr>
        <w:t xml:space="preserve">Likewise, virtually all such Indigenous governments or nonprofit organizations face varying levels of prejudice and discrimination. Thus, a typical land back project does achieve </w:t>
      </w:r>
      <w:r w:rsidR="003924CE">
        <w:rPr>
          <w:rFonts w:ascii="Bookman Old Style" w:hAnsi="Bookman Old Style"/>
          <w:bCs/>
          <w:sz w:val="24"/>
          <w:szCs w:val="24"/>
        </w:rPr>
        <w:t xml:space="preserve">one or more of </w:t>
      </w:r>
      <w:r w:rsidR="004D59D3">
        <w:rPr>
          <w:rFonts w:ascii="Bookman Old Style" w:hAnsi="Bookman Old Style"/>
          <w:bCs/>
          <w:sz w:val="24"/>
          <w:szCs w:val="24"/>
        </w:rPr>
        <w:t xml:space="preserve">these </w:t>
      </w:r>
      <w:r w:rsidR="0024716F">
        <w:rPr>
          <w:rFonts w:ascii="Bookman Old Style" w:hAnsi="Bookman Old Style"/>
          <w:bCs/>
          <w:sz w:val="24"/>
          <w:szCs w:val="24"/>
        </w:rPr>
        <w:t xml:space="preserve">recognized </w:t>
      </w:r>
      <w:r w:rsidR="004D59D3">
        <w:rPr>
          <w:rFonts w:ascii="Bookman Old Style" w:hAnsi="Bookman Old Style"/>
          <w:bCs/>
          <w:sz w:val="24"/>
          <w:szCs w:val="24"/>
        </w:rPr>
        <w:t xml:space="preserve">charitable goals. </w:t>
      </w:r>
    </w:p>
    <w:p w14:paraId="5AAFDFAD" w14:textId="77777777" w:rsidR="00C149A7" w:rsidRDefault="00C149A7" w:rsidP="00447A23">
      <w:pPr>
        <w:rPr>
          <w:rFonts w:ascii="Bookman Old Style" w:hAnsi="Bookman Old Style"/>
          <w:bCs/>
          <w:sz w:val="24"/>
          <w:szCs w:val="24"/>
        </w:rPr>
      </w:pPr>
    </w:p>
    <w:p w14:paraId="034A9A76" w14:textId="17874DEE" w:rsidR="00447A23" w:rsidRDefault="004D59D3" w:rsidP="00447A23">
      <w:pPr>
        <w:rPr>
          <w:rFonts w:ascii="Bookman Old Style" w:hAnsi="Bookman Old Style"/>
          <w:bCs/>
          <w:sz w:val="24"/>
          <w:szCs w:val="24"/>
        </w:rPr>
      </w:pPr>
      <w:r>
        <w:rPr>
          <w:rFonts w:ascii="Bookman Old Style" w:hAnsi="Bookman Old Style"/>
          <w:bCs/>
          <w:sz w:val="24"/>
          <w:szCs w:val="24"/>
        </w:rPr>
        <w:t>Furthermore, i</w:t>
      </w:r>
      <w:r w:rsidR="00C149A7">
        <w:rPr>
          <w:rFonts w:ascii="Bookman Old Style" w:hAnsi="Bookman Old Style"/>
          <w:bCs/>
          <w:sz w:val="24"/>
          <w:szCs w:val="24"/>
        </w:rPr>
        <w:t xml:space="preserve">n recent years, </w:t>
      </w:r>
      <w:r w:rsidR="00CF36BA">
        <w:rPr>
          <w:rFonts w:ascii="Bookman Old Style" w:hAnsi="Bookman Old Style"/>
          <w:bCs/>
          <w:sz w:val="24"/>
          <w:szCs w:val="24"/>
        </w:rPr>
        <w:t>some</w:t>
      </w:r>
      <w:r w:rsidR="00C149A7">
        <w:rPr>
          <w:rFonts w:ascii="Bookman Old Style" w:hAnsi="Bookman Old Style"/>
          <w:bCs/>
          <w:sz w:val="24"/>
          <w:szCs w:val="24"/>
        </w:rPr>
        <w:t xml:space="preserve"> land trusts have amended their official purpose statement to include cultural and historic </w:t>
      </w:r>
      <w:r w:rsidR="00066AB4">
        <w:rPr>
          <w:rFonts w:ascii="Bookman Old Style" w:hAnsi="Bookman Old Style"/>
          <w:bCs/>
          <w:sz w:val="24"/>
          <w:szCs w:val="24"/>
        </w:rPr>
        <w:t xml:space="preserve">Indigenous-related </w:t>
      </w:r>
      <w:r w:rsidR="00C149A7">
        <w:rPr>
          <w:rFonts w:ascii="Bookman Old Style" w:hAnsi="Bookman Old Style"/>
          <w:bCs/>
          <w:sz w:val="24"/>
          <w:szCs w:val="24"/>
        </w:rPr>
        <w:t>concerns</w:t>
      </w:r>
      <w:r w:rsidR="00066AB4">
        <w:rPr>
          <w:rFonts w:ascii="Bookman Old Style" w:hAnsi="Bookman Old Style"/>
          <w:bCs/>
          <w:sz w:val="24"/>
          <w:szCs w:val="24"/>
        </w:rPr>
        <w:t xml:space="preserve">. </w:t>
      </w:r>
      <w:r w:rsidR="00CF36BA">
        <w:rPr>
          <w:rFonts w:ascii="Bookman Old Style" w:hAnsi="Bookman Old Style"/>
          <w:bCs/>
          <w:sz w:val="24"/>
          <w:szCs w:val="24"/>
        </w:rPr>
        <w:t xml:space="preserve">By engaging the organization’s </w:t>
      </w:r>
      <w:r w:rsidR="003924CE">
        <w:rPr>
          <w:rFonts w:ascii="Bookman Old Style" w:hAnsi="Bookman Old Style"/>
          <w:bCs/>
          <w:sz w:val="24"/>
          <w:szCs w:val="24"/>
        </w:rPr>
        <w:t xml:space="preserve">Board and </w:t>
      </w:r>
      <w:r w:rsidR="00CF36BA">
        <w:rPr>
          <w:rFonts w:ascii="Bookman Old Style" w:hAnsi="Bookman Old Style"/>
          <w:bCs/>
          <w:sz w:val="24"/>
          <w:szCs w:val="24"/>
        </w:rPr>
        <w:t xml:space="preserve">members (assuming the land trust is a membership organization) in the broader discussion of historic and ongoing inequities around Indigenous peoples, considering a change to the purpose statement </w:t>
      </w:r>
      <w:r w:rsidR="00336D9E">
        <w:rPr>
          <w:rFonts w:ascii="Bookman Old Style" w:hAnsi="Bookman Old Style"/>
          <w:bCs/>
          <w:sz w:val="24"/>
          <w:szCs w:val="24"/>
        </w:rPr>
        <w:t>can be a meaningful and healthy step</w:t>
      </w:r>
      <w:r w:rsidR="00CF36BA">
        <w:rPr>
          <w:rFonts w:ascii="Bookman Old Style" w:hAnsi="Bookman Old Style"/>
          <w:bCs/>
          <w:sz w:val="24"/>
          <w:szCs w:val="24"/>
        </w:rPr>
        <w:t xml:space="preserve">. </w:t>
      </w:r>
      <w:r w:rsidR="00066AB4">
        <w:rPr>
          <w:rFonts w:ascii="Bookman Old Style" w:hAnsi="Bookman Old Style"/>
          <w:bCs/>
          <w:sz w:val="24"/>
          <w:szCs w:val="24"/>
        </w:rPr>
        <w:t xml:space="preserve">Sometimes a change in purpose statement is done expressly </w:t>
      </w:r>
      <w:proofErr w:type="gramStart"/>
      <w:r w:rsidR="00066AB4">
        <w:rPr>
          <w:rFonts w:ascii="Bookman Old Style" w:hAnsi="Bookman Old Style"/>
          <w:bCs/>
          <w:sz w:val="24"/>
          <w:szCs w:val="24"/>
        </w:rPr>
        <w:t>in order to</w:t>
      </w:r>
      <w:proofErr w:type="gramEnd"/>
      <w:r w:rsidR="00066AB4">
        <w:rPr>
          <w:rFonts w:ascii="Bookman Old Style" w:hAnsi="Bookman Old Style"/>
          <w:bCs/>
          <w:sz w:val="24"/>
          <w:szCs w:val="24"/>
        </w:rPr>
        <w:t xml:space="preserve"> better connect a land back project or program (or similar initiatives focused on social justice) to the organization’s stated purposes. </w:t>
      </w:r>
      <w:r w:rsidR="00CF36BA">
        <w:rPr>
          <w:rFonts w:ascii="Bookman Old Style" w:hAnsi="Bookman Old Style"/>
          <w:bCs/>
          <w:sz w:val="24"/>
          <w:szCs w:val="24"/>
        </w:rPr>
        <w:t>That said</w:t>
      </w:r>
      <w:r w:rsidR="00336D9E">
        <w:rPr>
          <w:rFonts w:ascii="Bookman Old Style" w:hAnsi="Bookman Old Style"/>
          <w:bCs/>
          <w:sz w:val="24"/>
          <w:szCs w:val="24"/>
        </w:rPr>
        <w:t>, a change to the purpose statement is not a prerequisite to participating in a land back project.</w:t>
      </w:r>
      <w:r w:rsidR="007D76CB">
        <w:rPr>
          <w:rFonts w:ascii="Bookman Old Style" w:hAnsi="Bookman Old Style"/>
          <w:bCs/>
          <w:sz w:val="24"/>
          <w:szCs w:val="24"/>
        </w:rPr>
        <w:t xml:space="preserve"> </w:t>
      </w:r>
    </w:p>
    <w:p w14:paraId="629B4019" w14:textId="78F6F29E" w:rsidR="00DD27AB" w:rsidRDefault="00DD27AB" w:rsidP="00447A23">
      <w:pPr>
        <w:rPr>
          <w:rFonts w:ascii="Bookman Old Style" w:hAnsi="Bookman Old Style"/>
          <w:bCs/>
          <w:sz w:val="24"/>
          <w:szCs w:val="24"/>
        </w:rPr>
      </w:pPr>
    </w:p>
    <w:p w14:paraId="34C69B0C" w14:textId="75857F82" w:rsidR="00DD27AB" w:rsidRDefault="003924CE" w:rsidP="00447A23">
      <w:pPr>
        <w:rPr>
          <w:rFonts w:ascii="Bookman Old Style" w:hAnsi="Bookman Old Style"/>
          <w:bCs/>
          <w:sz w:val="24"/>
          <w:szCs w:val="24"/>
        </w:rPr>
      </w:pPr>
      <w:r>
        <w:rPr>
          <w:rFonts w:ascii="Bookman Old Style" w:hAnsi="Bookman Old Style"/>
          <w:bCs/>
          <w:sz w:val="24"/>
          <w:szCs w:val="24"/>
        </w:rPr>
        <w:t>On rare o</w:t>
      </w:r>
      <w:r w:rsidR="00DD27AB">
        <w:rPr>
          <w:rFonts w:ascii="Bookman Old Style" w:hAnsi="Bookman Old Style"/>
          <w:bCs/>
          <w:sz w:val="24"/>
          <w:szCs w:val="24"/>
        </w:rPr>
        <w:t xml:space="preserve">ccasion, a member of a nonprofit brings </w:t>
      </w:r>
      <w:proofErr w:type="gramStart"/>
      <w:r w:rsidR="00DD27AB">
        <w:rPr>
          <w:rFonts w:ascii="Bookman Old Style" w:hAnsi="Bookman Old Style"/>
          <w:bCs/>
          <w:sz w:val="24"/>
          <w:szCs w:val="24"/>
        </w:rPr>
        <w:t xml:space="preserve">an </w:t>
      </w:r>
      <w:r w:rsidR="00DD27AB" w:rsidRPr="00DD27AB">
        <w:rPr>
          <w:rFonts w:ascii="Bookman Old Style" w:hAnsi="Bookman Old Style"/>
          <w:bCs/>
          <w:i/>
          <w:iCs/>
          <w:sz w:val="24"/>
          <w:szCs w:val="24"/>
        </w:rPr>
        <w:t>ultra vires</w:t>
      </w:r>
      <w:proofErr w:type="gramEnd"/>
      <w:r w:rsidR="00DD27AB">
        <w:rPr>
          <w:rFonts w:ascii="Bookman Old Style" w:hAnsi="Bookman Old Style"/>
          <w:bCs/>
          <w:sz w:val="24"/>
          <w:szCs w:val="24"/>
        </w:rPr>
        <w:t xml:space="preserve"> claim against the </w:t>
      </w:r>
      <w:r>
        <w:rPr>
          <w:rFonts w:ascii="Bookman Old Style" w:hAnsi="Bookman Old Style"/>
          <w:bCs/>
          <w:sz w:val="24"/>
          <w:szCs w:val="24"/>
        </w:rPr>
        <w:t>organization</w:t>
      </w:r>
      <w:r w:rsidR="00DD27AB">
        <w:rPr>
          <w:rFonts w:ascii="Bookman Old Style" w:hAnsi="Bookman Old Style"/>
          <w:bCs/>
          <w:sz w:val="24"/>
          <w:szCs w:val="24"/>
        </w:rPr>
        <w:t xml:space="preserve">, claiming that a specific action was in violation of its charitable purposes. </w:t>
      </w:r>
      <w:r w:rsidR="00DD27AB" w:rsidRPr="00CF36BA">
        <w:rPr>
          <w:rFonts w:ascii="Bookman Old Style" w:hAnsi="Bookman Old Style"/>
          <w:bCs/>
          <w:i/>
          <w:iCs/>
          <w:sz w:val="24"/>
          <w:szCs w:val="24"/>
        </w:rPr>
        <w:t>Ultra vires</w:t>
      </w:r>
      <w:r w:rsidR="00DD27AB">
        <w:rPr>
          <w:rFonts w:ascii="Bookman Old Style" w:hAnsi="Bookman Old Style"/>
          <w:bCs/>
          <w:sz w:val="24"/>
          <w:szCs w:val="24"/>
        </w:rPr>
        <w:t xml:space="preserve"> actions are usually grounded in </w:t>
      </w:r>
      <w:r w:rsidR="00CF36BA">
        <w:rPr>
          <w:rFonts w:ascii="Bookman Old Style" w:hAnsi="Bookman Old Style"/>
          <w:bCs/>
          <w:sz w:val="24"/>
          <w:szCs w:val="24"/>
        </w:rPr>
        <w:t xml:space="preserve">each state’s nonprofit corporation statute. However, these kinds of claims rarely succeed, and when they do the circumstances are </w:t>
      </w:r>
      <w:r w:rsidR="0024716F">
        <w:rPr>
          <w:rFonts w:ascii="Bookman Old Style" w:hAnsi="Bookman Old Style"/>
          <w:bCs/>
          <w:sz w:val="24"/>
          <w:szCs w:val="24"/>
        </w:rPr>
        <w:t>usually</w:t>
      </w:r>
      <w:r w:rsidR="00CF36BA">
        <w:rPr>
          <w:rFonts w:ascii="Bookman Old Style" w:hAnsi="Bookman Old Style"/>
          <w:bCs/>
          <w:sz w:val="24"/>
          <w:szCs w:val="24"/>
        </w:rPr>
        <w:t xml:space="preserve"> grounded in fraud. It is difficult to see a land back project unwound by an </w:t>
      </w:r>
      <w:r w:rsidR="00CF36BA" w:rsidRPr="00CF36BA">
        <w:rPr>
          <w:rFonts w:ascii="Bookman Old Style" w:hAnsi="Bookman Old Style"/>
          <w:bCs/>
          <w:i/>
          <w:iCs/>
          <w:sz w:val="24"/>
          <w:szCs w:val="24"/>
        </w:rPr>
        <w:t>ultra vires</w:t>
      </w:r>
      <w:r w:rsidR="00CF36BA">
        <w:rPr>
          <w:rFonts w:ascii="Bookman Old Style" w:hAnsi="Bookman Old Style"/>
          <w:bCs/>
          <w:sz w:val="24"/>
          <w:szCs w:val="24"/>
        </w:rPr>
        <w:t xml:space="preserve"> claim. But again, if a land trust Board wants to eliminate any uncertainty in this respect, it can amend its purpose statement to add a cultural and historic plank. </w:t>
      </w:r>
    </w:p>
    <w:p w14:paraId="6D1A9AA0" w14:textId="30AAE848" w:rsidR="000B33E7" w:rsidRDefault="000B33E7" w:rsidP="00447A23">
      <w:pPr>
        <w:rPr>
          <w:rFonts w:ascii="Bookman Old Style" w:hAnsi="Bookman Old Style"/>
          <w:bCs/>
          <w:sz w:val="24"/>
          <w:szCs w:val="24"/>
        </w:rPr>
      </w:pPr>
    </w:p>
    <w:p w14:paraId="3CFDBB48" w14:textId="26EFE699" w:rsidR="00FB6947" w:rsidRDefault="00086970" w:rsidP="0074476D">
      <w:pPr>
        <w:rPr>
          <w:rFonts w:ascii="Bookman Old Style" w:hAnsi="Bookman Old Style"/>
          <w:bCs/>
          <w:sz w:val="24"/>
          <w:szCs w:val="24"/>
        </w:rPr>
      </w:pPr>
      <w:r>
        <w:rPr>
          <w:rFonts w:ascii="Bookman Old Style" w:hAnsi="Bookman Old Style"/>
          <w:bCs/>
          <w:sz w:val="24"/>
          <w:szCs w:val="24"/>
        </w:rPr>
        <w:t xml:space="preserve">In many ways, it is </w:t>
      </w:r>
      <w:r w:rsidR="00430587">
        <w:rPr>
          <w:rFonts w:ascii="Bookman Old Style" w:hAnsi="Bookman Old Style"/>
          <w:bCs/>
          <w:sz w:val="24"/>
          <w:szCs w:val="24"/>
        </w:rPr>
        <w:t>instructive</w:t>
      </w:r>
      <w:r>
        <w:rPr>
          <w:rFonts w:ascii="Bookman Old Style" w:hAnsi="Bookman Old Style"/>
          <w:bCs/>
          <w:sz w:val="24"/>
          <w:szCs w:val="24"/>
        </w:rPr>
        <w:t xml:space="preserve"> to compare a land back project to the return of </w:t>
      </w:r>
      <w:r w:rsidR="00FB6947">
        <w:rPr>
          <w:rFonts w:ascii="Bookman Old Style" w:hAnsi="Bookman Old Style"/>
          <w:bCs/>
          <w:sz w:val="24"/>
          <w:szCs w:val="24"/>
        </w:rPr>
        <w:t xml:space="preserve">Indigenous objects by museums. Congress enacted the </w:t>
      </w:r>
      <w:hyperlink r:id="rId9" w:history="1">
        <w:r w:rsidR="00FB6947" w:rsidRPr="003924CE">
          <w:rPr>
            <w:rStyle w:val="Hyperlink"/>
            <w:rFonts w:ascii="Bookman Old Style" w:hAnsi="Bookman Old Style"/>
            <w:bCs/>
            <w:sz w:val="24"/>
            <w:szCs w:val="24"/>
          </w:rPr>
          <w:t>Native American Graves and Protection and Repatriation Act</w:t>
        </w:r>
      </w:hyperlink>
      <w:r w:rsidR="00FB6947">
        <w:rPr>
          <w:rFonts w:ascii="Bookman Old Style" w:hAnsi="Bookman Old Style"/>
          <w:bCs/>
          <w:sz w:val="24"/>
          <w:szCs w:val="24"/>
        </w:rPr>
        <w:t xml:space="preserve"> (NAGPRA) in 1990 </w:t>
      </w:r>
      <w:r w:rsidR="003924CE">
        <w:rPr>
          <w:rFonts w:ascii="Bookman Old Style" w:hAnsi="Bookman Old Style"/>
          <w:bCs/>
          <w:sz w:val="24"/>
          <w:szCs w:val="24"/>
        </w:rPr>
        <w:t xml:space="preserve">to encourage and in some cases require </w:t>
      </w:r>
      <w:r w:rsidR="00FB6947" w:rsidRPr="00FB6947">
        <w:rPr>
          <w:rFonts w:ascii="Bookman Old Style" w:hAnsi="Bookman Old Style"/>
          <w:bCs/>
          <w:sz w:val="24"/>
          <w:szCs w:val="24"/>
        </w:rPr>
        <w:t xml:space="preserve">the repatriation </w:t>
      </w:r>
      <w:r w:rsidR="00FB6947">
        <w:rPr>
          <w:rFonts w:ascii="Bookman Old Style" w:hAnsi="Bookman Old Style"/>
          <w:bCs/>
          <w:sz w:val="24"/>
          <w:szCs w:val="24"/>
        </w:rPr>
        <w:t>o</w:t>
      </w:r>
      <w:r w:rsidR="00FB6947" w:rsidRPr="00FB6947">
        <w:rPr>
          <w:rFonts w:ascii="Bookman Old Style" w:hAnsi="Bookman Old Style"/>
          <w:bCs/>
          <w:sz w:val="24"/>
          <w:szCs w:val="24"/>
        </w:rPr>
        <w:t xml:space="preserve">f certain </w:t>
      </w:r>
      <w:r w:rsidR="00FB6947">
        <w:rPr>
          <w:rFonts w:ascii="Bookman Old Style" w:hAnsi="Bookman Old Style"/>
          <w:bCs/>
          <w:sz w:val="24"/>
          <w:szCs w:val="24"/>
        </w:rPr>
        <w:t>Indigenous hu</w:t>
      </w:r>
      <w:r w:rsidR="00FB6947" w:rsidRPr="00FB6947">
        <w:rPr>
          <w:rFonts w:ascii="Bookman Old Style" w:hAnsi="Bookman Old Style"/>
          <w:bCs/>
          <w:sz w:val="24"/>
          <w:szCs w:val="24"/>
        </w:rPr>
        <w:t>man remains</w:t>
      </w:r>
      <w:r w:rsidR="00FB6947">
        <w:rPr>
          <w:rFonts w:ascii="Bookman Old Style" w:hAnsi="Bookman Old Style"/>
          <w:bCs/>
          <w:sz w:val="24"/>
          <w:szCs w:val="24"/>
        </w:rPr>
        <w:t xml:space="preserve"> and </w:t>
      </w:r>
      <w:r w:rsidR="00FB6947" w:rsidRPr="00FB6947">
        <w:rPr>
          <w:rFonts w:ascii="Bookman Old Style" w:hAnsi="Bookman Old Style"/>
          <w:bCs/>
          <w:sz w:val="24"/>
          <w:szCs w:val="24"/>
        </w:rPr>
        <w:t xml:space="preserve">sacred </w:t>
      </w:r>
      <w:r w:rsidR="00FB6947">
        <w:rPr>
          <w:rFonts w:ascii="Bookman Old Style" w:hAnsi="Bookman Old Style"/>
          <w:bCs/>
          <w:sz w:val="24"/>
          <w:szCs w:val="24"/>
        </w:rPr>
        <w:t xml:space="preserve">and cultural </w:t>
      </w:r>
      <w:r w:rsidR="00FB6947" w:rsidRPr="00FB6947">
        <w:rPr>
          <w:rFonts w:ascii="Bookman Old Style" w:hAnsi="Bookman Old Style"/>
          <w:bCs/>
          <w:sz w:val="24"/>
          <w:szCs w:val="24"/>
        </w:rPr>
        <w:t xml:space="preserve">objects. By enacting NAGPRA, Congress acknowledged that human </w:t>
      </w:r>
      <w:proofErr w:type="gramStart"/>
      <w:r w:rsidR="00FB6947" w:rsidRPr="00FB6947">
        <w:rPr>
          <w:rFonts w:ascii="Bookman Old Style" w:hAnsi="Bookman Old Style"/>
          <w:bCs/>
          <w:sz w:val="24"/>
          <w:szCs w:val="24"/>
        </w:rPr>
        <w:t>remains</w:t>
      </w:r>
      <w:proofErr w:type="gramEnd"/>
      <w:r w:rsidR="00FB6947" w:rsidRPr="00FB6947">
        <w:rPr>
          <w:rFonts w:ascii="Bookman Old Style" w:hAnsi="Bookman Old Style"/>
          <w:bCs/>
          <w:sz w:val="24"/>
          <w:szCs w:val="24"/>
        </w:rPr>
        <w:t xml:space="preserve"> and other cultural items removed from Federal or </w:t>
      </w:r>
      <w:r w:rsidR="004577DA">
        <w:rPr>
          <w:rFonts w:ascii="Bookman Old Style" w:hAnsi="Bookman Old Style"/>
          <w:bCs/>
          <w:sz w:val="24"/>
          <w:szCs w:val="24"/>
        </w:rPr>
        <w:t>T</w:t>
      </w:r>
      <w:r w:rsidR="00FB6947" w:rsidRPr="00FB6947">
        <w:rPr>
          <w:rFonts w:ascii="Bookman Old Style" w:hAnsi="Bookman Old Style"/>
          <w:bCs/>
          <w:sz w:val="24"/>
          <w:szCs w:val="24"/>
        </w:rPr>
        <w:t>ribal lands belong, in the first instance, to lineal descendants</w:t>
      </w:r>
      <w:r w:rsidR="00066AB4">
        <w:rPr>
          <w:rFonts w:ascii="Bookman Old Style" w:hAnsi="Bookman Old Style"/>
          <w:bCs/>
          <w:sz w:val="24"/>
          <w:szCs w:val="24"/>
        </w:rPr>
        <w:t xml:space="preserve"> and Indigenous </w:t>
      </w:r>
      <w:r w:rsidR="004577DA">
        <w:rPr>
          <w:rFonts w:ascii="Bookman Old Style" w:hAnsi="Bookman Old Style"/>
          <w:bCs/>
          <w:sz w:val="24"/>
          <w:szCs w:val="24"/>
        </w:rPr>
        <w:t>T</w:t>
      </w:r>
      <w:r w:rsidR="00066AB4">
        <w:rPr>
          <w:rFonts w:ascii="Bookman Old Style" w:hAnsi="Bookman Old Style"/>
          <w:bCs/>
          <w:sz w:val="24"/>
          <w:szCs w:val="24"/>
        </w:rPr>
        <w:t xml:space="preserve">ribes. </w:t>
      </w:r>
      <w:r w:rsidR="00FB6947">
        <w:rPr>
          <w:rFonts w:ascii="Bookman Old Style" w:hAnsi="Bookman Old Style"/>
          <w:bCs/>
          <w:sz w:val="24"/>
          <w:szCs w:val="24"/>
        </w:rPr>
        <w:t xml:space="preserve">Although NAGPRA does not extend to real property, the same theory of redressing past dispossession undergirds any land back and </w:t>
      </w:r>
      <w:proofErr w:type="spellStart"/>
      <w:r w:rsidR="00FB6947">
        <w:rPr>
          <w:rFonts w:ascii="Bookman Old Style" w:hAnsi="Bookman Old Style"/>
          <w:bCs/>
          <w:sz w:val="24"/>
          <w:szCs w:val="24"/>
        </w:rPr>
        <w:t>rematriation</w:t>
      </w:r>
      <w:proofErr w:type="spellEnd"/>
      <w:r w:rsidR="00FB6947">
        <w:rPr>
          <w:rFonts w:ascii="Bookman Old Style" w:hAnsi="Bookman Old Style"/>
          <w:bCs/>
          <w:sz w:val="24"/>
          <w:szCs w:val="24"/>
        </w:rPr>
        <w:t xml:space="preserve"> project. </w:t>
      </w:r>
      <w:r w:rsidR="00782DF0">
        <w:rPr>
          <w:rFonts w:ascii="Bookman Old Style" w:hAnsi="Bookman Old Style"/>
          <w:bCs/>
          <w:sz w:val="24"/>
          <w:szCs w:val="24"/>
        </w:rPr>
        <w:t xml:space="preserve">If the return of </w:t>
      </w:r>
      <w:r w:rsidR="00066AB4">
        <w:rPr>
          <w:rFonts w:ascii="Bookman Old Style" w:hAnsi="Bookman Old Style"/>
          <w:bCs/>
          <w:sz w:val="24"/>
          <w:szCs w:val="24"/>
        </w:rPr>
        <w:t xml:space="preserve">certain </w:t>
      </w:r>
      <w:r w:rsidR="00782DF0">
        <w:rPr>
          <w:rFonts w:ascii="Bookman Old Style" w:hAnsi="Bookman Old Style"/>
          <w:bCs/>
          <w:sz w:val="24"/>
          <w:szCs w:val="24"/>
        </w:rPr>
        <w:t>cultural item</w:t>
      </w:r>
      <w:r w:rsidR="00066AB4">
        <w:rPr>
          <w:rFonts w:ascii="Bookman Old Style" w:hAnsi="Bookman Old Style"/>
          <w:bCs/>
          <w:sz w:val="24"/>
          <w:szCs w:val="24"/>
        </w:rPr>
        <w:t>s</w:t>
      </w:r>
      <w:r w:rsidR="00782DF0">
        <w:rPr>
          <w:rFonts w:ascii="Bookman Old Style" w:hAnsi="Bookman Old Style"/>
          <w:bCs/>
          <w:sz w:val="24"/>
          <w:szCs w:val="24"/>
        </w:rPr>
        <w:t xml:space="preserve"> that </w:t>
      </w:r>
      <w:r w:rsidR="00066AB4">
        <w:rPr>
          <w:rFonts w:ascii="Bookman Old Style" w:hAnsi="Bookman Old Style"/>
          <w:bCs/>
          <w:sz w:val="24"/>
          <w:szCs w:val="24"/>
        </w:rPr>
        <w:t xml:space="preserve">was removed from </w:t>
      </w:r>
      <w:r w:rsidR="00782DF0">
        <w:rPr>
          <w:rFonts w:ascii="Bookman Old Style" w:hAnsi="Bookman Old Style"/>
          <w:bCs/>
          <w:sz w:val="24"/>
          <w:szCs w:val="24"/>
        </w:rPr>
        <w:t xml:space="preserve">a parcel of land is not only allowed but </w:t>
      </w:r>
      <w:r w:rsidR="00782DF0" w:rsidRPr="00782DF0">
        <w:rPr>
          <w:rFonts w:ascii="Bookman Old Style" w:hAnsi="Bookman Old Style"/>
          <w:bCs/>
          <w:i/>
          <w:iCs/>
          <w:sz w:val="24"/>
          <w:szCs w:val="24"/>
        </w:rPr>
        <w:t>required</w:t>
      </w:r>
      <w:r w:rsidR="00782DF0">
        <w:rPr>
          <w:rFonts w:ascii="Bookman Old Style" w:hAnsi="Bookman Old Style"/>
          <w:bCs/>
          <w:sz w:val="24"/>
          <w:szCs w:val="24"/>
        </w:rPr>
        <w:t xml:space="preserve"> under NAGPRA, it would be inconsistent</w:t>
      </w:r>
      <w:r w:rsidR="00066AB4">
        <w:rPr>
          <w:rFonts w:ascii="Bookman Old Style" w:hAnsi="Bookman Old Style"/>
          <w:bCs/>
          <w:sz w:val="24"/>
          <w:szCs w:val="24"/>
        </w:rPr>
        <w:t xml:space="preserve"> and somewhat audacious</w:t>
      </w:r>
      <w:r w:rsidR="00782DF0">
        <w:rPr>
          <w:rFonts w:ascii="Bookman Old Style" w:hAnsi="Bookman Old Style"/>
          <w:bCs/>
          <w:sz w:val="24"/>
          <w:szCs w:val="24"/>
        </w:rPr>
        <w:t xml:space="preserve"> for the IRS or any </w:t>
      </w:r>
      <w:r w:rsidR="00066AB4">
        <w:rPr>
          <w:rFonts w:ascii="Bookman Old Style" w:hAnsi="Bookman Old Style"/>
          <w:bCs/>
          <w:sz w:val="24"/>
          <w:szCs w:val="24"/>
        </w:rPr>
        <w:t xml:space="preserve">state </w:t>
      </w:r>
      <w:r w:rsidR="00782DF0">
        <w:rPr>
          <w:rFonts w:ascii="Bookman Old Style" w:hAnsi="Bookman Old Style"/>
          <w:bCs/>
          <w:sz w:val="24"/>
          <w:szCs w:val="24"/>
        </w:rPr>
        <w:t>regulatory authority to claim that the return of land itself is a violation of a 501(c)(3) organization’s charitable purposes.</w:t>
      </w:r>
    </w:p>
    <w:p w14:paraId="2EF7812F" w14:textId="77777777" w:rsidR="00FB6947" w:rsidRDefault="00FB6947" w:rsidP="0074476D">
      <w:pPr>
        <w:rPr>
          <w:rFonts w:ascii="Bookman Old Style" w:hAnsi="Bookman Old Style"/>
          <w:bCs/>
          <w:sz w:val="24"/>
          <w:szCs w:val="24"/>
        </w:rPr>
      </w:pPr>
    </w:p>
    <w:p w14:paraId="0EE26A89" w14:textId="471EA3B1" w:rsidR="0074476D" w:rsidRPr="0074476D" w:rsidRDefault="003509AF" w:rsidP="0074476D">
      <w:pPr>
        <w:rPr>
          <w:rFonts w:ascii="Bookman Old Style" w:hAnsi="Bookman Old Style"/>
          <w:bCs/>
          <w:sz w:val="24"/>
          <w:szCs w:val="24"/>
          <w:lang w:val="en-US"/>
        </w:rPr>
      </w:pPr>
      <w:r>
        <w:rPr>
          <w:rFonts w:ascii="Bookman Old Style" w:hAnsi="Bookman Old Style"/>
          <w:bCs/>
          <w:sz w:val="24"/>
          <w:szCs w:val="24"/>
        </w:rPr>
        <w:t xml:space="preserve">Comparisons to the return of </w:t>
      </w:r>
      <w:r w:rsidR="00086970">
        <w:rPr>
          <w:rFonts w:ascii="Bookman Old Style" w:hAnsi="Bookman Old Style"/>
          <w:bCs/>
          <w:sz w:val="24"/>
          <w:szCs w:val="24"/>
        </w:rPr>
        <w:t xml:space="preserve">stolen or looted art by </w:t>
      </w:r>
      <w:r w:rsidR="003924CE">
        <w:rPr>
          <w:rFonts w:ascii="Bookman Old Style" w:hAnsi="Bookman Old Style"/>
          <w:bCs/>
          <w:sz w:val="24"/>
          <w:szCs w:val="24"/>
        </w:rPr>
        <w:t>a</w:t>
      </w:r>
      <w:r w:rsidR="00086970">
        <w:rPr>
          <w:rFonts w:ascii="Bookman Old Style" w:hAnsi="Bookman Old Style"/>
          <w:bCs/>
          <w:sz w:val="24"/>
          <w:szCs w:val="24"/>
        </w:rPr>
        <w:t>rt museum</w:t>
      </w:r>
      <w:r w:rsidR="003924CE">
        <w:rPr>
          <w:rFonts w:ascii="Bookman Old Style" w:hAnsi="Bookman Old Style"/>
          <w:bCs/>
          <w:sz w:val="24"/>
          <w:szCs w:val="24"/>
        </w:rPr>
        <w:t>s</w:t>
      </w:r>
      <w:r>
        <w:rPr>
          <w:rFonts w:ascii="Bookman Old Style" w:hAnsi="Bookman Old Style"/>
          <w:bCs/>
          <w:sz w:val="24"/>
          <w:szCs w:val="24"/>
        </w:rPr>
        <w:t xml:space="preserve"> are also on point</w:t>
      </w:r>
      <w:r w:rsidR="00086970">
        <w:rPr>
          <w:rFonts w:ascii="Bookman Old Style" w:hAnsi="Bookman Old Style"/>
          <w:bCs/>
          <w:sz w:val="24"/>
          <w:szCs w:val="24"/>
        </w:rPr>
        <w:t>. M</w:t>
      </w:r>
      <w:r w:rsidR="00430587">
        <w:rPr>
          <w:rFonts w:ascii="Bookman Old Style" w:hAnsi="Bookman Old Style"/>
          <w:bCs/>
          <w:sz w:val="24"/>
          <w:szCs w:val="24"/>
        </w:rPr>
        <w:t>any if not most</w:t>
      </w:r>
      <w:r w:rsidR="00086970">
        <w:rPr>
          <w:rFonts w:ascii="Bookman Old Style" w:hAnsi="Bookman Old Style"/>
          <w:bCs/>
          <w:sz w:val="24"/>
          <w:szCs w:val="24"/>
        </w:rPr>
        <w:t xml:space="preserve"> American art museums are 501(c)(3) </w:t>
      </w:r>
      <w:r w:rsidR="001C44AE">
        <w:rPr>
          <w:rFonts w:ascii="Bookman Old Style" w:hAnsi="Bookman Old Style"/>
          <w:bCs/>
          <w:sz w:val="24"/>
          <w:szCs w:val="24"/>
        </w:rPr>
        <w:t xml:space="preserve">nonprofit </w:t>
      </w:r>
      <w:r w:rsidR="001C44AE">
        <w:rPr>
          <w:rFonts w:ascii="Bookman Old Style" w:hAnsi="Bookman Old Style"/>
          <w:bCs/>
          <w:sz w:val="24"/>
          <w:szCs w:val="24"/>
        </w:rPr>
        <w:lastRenderedPageBreak/>
        <w:t>organizations</w:t>
      </w:r>
      <w:r w:rsidR="00086970">
        <w:rPr>
          <w:rFonts w:ascii="Bookman Old Style" w:hAnsi="Bookman Old Style"/>
          <w:bCs/>
          <w:sz w:val="24"/>
          <w:szCs w:val="24"/>
        </w:rPr>
        <w:t xml:space="preserve"> and subject to the same federal and state laws as land trusts. </w:t>
      </w:r>
      <w:r w:rsidR="00F80629">
        <w:rPr>
          <w:rFonts w:ascii="Bookman Old Style" w:hAnsi="Bookman Old Style"/>
          <w:bCs/>
          <w:sz w:val="24"/>
          <w:szCs w:val="24"/>
        </w:rPr>
        <w:t>In recent decades, concerns grew in the art world about the provenance of works of art, with increasing evidence that many items had been looted from museums or private collections</w:t>
      </w:r>
      <w:r w:rsidR="00430587">
        <w:rPr>
          <w:rFonts w:ascii="Bookman Old Style" w:hAnsi="Bookman Old Style"/>
          <w:bCs/>
          <w:sz w:val="24"/>
          <w:szCs w:val="24"/>
        </w:rPr>
        <w:t xml:space="preserve"> </w:t>
      </w:r>
      <w:r w:rsidR="00F80629">
        <w:rPr>
          <w:rFonts w:ascii="Bookman Old Style" w:hAnsi="Bookman Old Style"/>
          <w:bCs/>
          <w:sz w:val="24"/>
          <w:szCs w:val="24"/>
        </w:rPr>
        <w:t>by Nazis</w:t>
      </w:r>
      <w:r w:rsidR="00430587">
        <w:rPr>
          <w:rFonts w:ascii="Bookman Old Style" w:hAnsi="Bookman Old Style"/>
          <w:bCs/>
          <w:sz w:val="24"/>
          <w:szCs w:val="24"/>
        </w:rPr>
        <w:t xml:space="preserve"> before and during World War II</w:t>
      </w:r>
      <w:r w:rsidR="00F80629">
        <w:rPr>
          <w:rFonts w:ascii="Bookman Old Style" w:hAnsi="Bookman Old Style"/>
          <w:bCs/>
          <w:sz w:val="24"/>
          <w:szCs w:val="24"/>
        </w:rPr>
        <w:t xml:space="preserve">. In response to these concerns, </w:t>
      </w:r>
      <w:r w:rsidR="00F80629" w:rsidRPr="00F80629">
        <w:rPr>
          <w:rFonts w:ascii="Bookman Old Style" w:hAnsi="Bookman Old Style"/>
          <w:bCs/>
          <w:sz w:val="24"/>
          <w:szCs w:val="24"/>
        </w:rPr>
        <w:t>the American Alliance of Museums (the umbrella group that represents American art museums</w:t>
      </w:r>
      <w:r w:rsidR="00F80629">
        <w:rPr>
          <w:rFonts w:ascii="Bookman Old Style" w:hAnsi="Bookman Old Style"/>
          <w:bCs/>
          <w:sz w:val="24"/>
          <w:szCs w:val="24"/>
        </w:rPr>
        <w:t>, the equivalent of the land trust world’s Land Trust Alliance),</w:t>
      </w:r>
      <w:r w:rsidR="00430587">
        <w:rPr>
          <w:rFonts w:ascii="Bookman Old Style" w:hAnsi="Bookman Old Style"/>
          <w:bCs/>
          <w:sz w:val="24"/>
          <w:szCs w:val="24"/>
        </w:rPr>
        <w:t xml:space="preserve"> along with an international counterpart,</w:t>
      </w:r>
      <w:r w:rsidR="00F80629">
        <w:rPr>
          <w:rFonts w:ascii="Bookman Old Style" w:hAnsi="Bookman Old Style"/>
          <w:bCs/>
          <w:sz w:val="24"/>
          <w:szCs w:val="24"/>
        </w:rPr>
        <w:t xml:space="preserve"> undertook a study of </w:t>
      </w:r>
      <w:r w:rsidR="00430587">
        <w:rPr>
          <w:rFonts w:ascii="Bookman Old Style" w:hAnsi="Bookman Old Style"/>
          <w:bCs/>
          <w:sz w:val="24"/>
          <w:szCs w:val="24"/>
        </w:rPr>
        <w:t xml:space="preserve">the issue and in 2001 published </w:t>
      </w:r>
      <w:r w:rsidR="0074476D">
        <w:rPr>
          <w:rFonts w:ascii="Bookman Old Style" w:hAnsi="Bookman Old Style"/>
          <w:bCs/>
          <w:sz w:val="24"/>
          <w:szCs w:val="24"/>
        </w:rPr>
        <w:t xml:space="preserve">a comprehensive </w:t>
      </w:r>
      <w:hyperlink r:id="rId10" w:history="1">
        <w:r w:rsidR="0074476D" w:rsidRPr="0074476D">
          <w:rPr>
            <w:rStyle w:val="Hyperlink"/>
            <w:rFonts w:ascii="Bookman Old Style" w:hAnsi="Bookman Old Style"/>
            <w:bCs/>
            <w:sz w:val="24"/>
            <w:szCs w:val="24"/>
          </w:rPr>
          <w:t xml:space="preserve">Standards Regarding the </w:t>
        </w:r>
        <w:r w:rsidR="0074476D" w:rsidRPr="0074476D">
          <w:rPr>
            <w:rStyle w:val="Hyperlink"/>
            <w:rFonts w:ascii="Bookman Old Style" w:hAnsi="Bookman Old Style"/>
            <w:bCs/>
            <w:sz w:val="24"/>
            <w:szCs w:val="24"/>
            <w:lang w:val="en-US"/>
          </w:rPr>
          <w:t>Unlawful Appropriation of Objects During the Nazi Era</w:t>
        </w:r>
      </w:hyperlink>
      <w:r w:rsidR="0074476D">
        <w:rPr>
          <w:rFonts w:ascii="Bookman Old Style" w:hAnsi="Bookman Old Style"/>
          <w:bCs/>
          <w:sz w:val="24"/>
          <w:szCs w:val="24"/>
          <w:lang w:val="en-US"/>
        </w:rPr>
        <w:t xml:space="preserve">. </w:t>
      </w:r>
      <w:r w:rsidR="005004C7">
        <w:rPr>
          <w:rFonts w:ascii="Bookman Old Style" w:hAnsi="Bookman Old Style"/>
          <w:bCs/>
          <w:sz w:val="24"/>
          <w:szCs w:val="24"/>
          <w:lang w:val="en-US"/>
        </w:rPr>
        <w:t xml:space="preserve">Despite these very prominent and public “art back” programs, I am not aware of the IRS or any state Attorneys General expressing any concerns about whether art museums are acting beyond the scope of their charitable purposes. </w:t>
      </w:r>
    </w:p>
    <w:p w14:paraId="7900C330" w14:textId="1F1DB0E2" w:rsidR="00086970" w:rsidRPr="0074476D" w:rsidRDefault="00086970" w:rsidP="00447A23">
      <w:pPr>
        <w:rPr>
          <w:rFonts w:ascii="Bookman Old Style" w:hAnsi="Bookman Old Style"/>
          <w:bCs/>
          <w:sz w:val="24"/>
          <w:szCs w:val="24"/>
          <w:lang w:val="en-US"/>
        </w:rPr>
      </w:pPr>
    </w:p>
    <w:p w14:paraId="471E27DB" w14:textId="58D6C637" w:rsidR="0074476D" w:rsidRDefault="0074476D" w:rsidP="0074476D">
      <w:pPr>
        <w:rPr>
          <w:rFonts w:ascii="Bookman Old Style" w:hAnsi="Bookman Old Style"/>
          <w:bCs/>
          <w:sz w:val="24"/>
          <w:szCs w:val="24"/>
        </w:rPr>
      </w:pPr>
      <w:r>
        <w:rPr>
          <w:rFonts w:ascii="Bookman Old Style" w:hAnsi="Bookman Old Style"/>
          <w:bCs/>
          <w:sz w:val="24"/>
          <w:szCs w:val="24"/>
        </w:rPr>
        <w:t>To be clear, a typical land back project entails the return of land to a</w:t>
      </w:r>
      <w:r w:rsidR="00FB43A9">
        <w:rPr>
          <w:rFonts w:ascii="Bookman Old Style" w:hAnsi="Bookman Old Style"/>
          <w:bCs/>
          <w:sz w:val="24"/>
          <w:szCs w:val="24"/>
        </w:rPr>
        <w:t>n Indigenous</w:t>
      </w:r>
      <w:r>
        <w:rPr>
          <w:rFonts w:ascii="Bookman Old Style" w:hAnsi="Bookman Old Style"/>
          <w:bCs/>
          <w:sz w:val="24"/>
          <w:szCs w:val="24"/>
        </w:rPr>
        <w:t xml:space="preserve"> entity of some sort, whether that is a formal </w:t>
      </w:r>
      <w:r w:rsidR="003041EE">
        <w:rPr>
          <w:rFonts w:ascii="Bookman Old Style" w:hAnsi="Bookman Old Style"/>
          <w:bCs/>
          <w:sz w:val="24"/>
          <w:szCs w:val="24"/>
        </w:rPr>
        <w:t>T</w:t>
      </w:r>
      <w:r>
        <w:rPr>
          <w:rFonts w:ascii="Bookman Old Style" w:hAnsi="Bookman Old Style"/>
          <w:bCs/>
          <w:sz w:val="24"/>
          <w:szCs w:val="24"/>
        </w:rPr>
        <w:t xml:space="preserve">ribal government or a nonprofit </w:t>
      </w:r>
      <w:r w:rsidR="00554762">
        <w:rPr>
          <w:rFonts w:ascii="Bookman Old Style" w:hAnsi="Bookman Old Style"/>
          <w:bCs/>
          <w:sz w:val="24"/>
          <w:szCs w:val="24"/>
        </w:rPr>
        <w:t xml:space="preserve">501(c)(3) </w:t>
      </w:r>
      <w:r>
        <w:rPr>
          <w:rFonts w:ascii="Bookman Old Style" w:hAnsi="Bookman Old Style"/>
          <w:bCs/>
          <w:sz w:val="24"/>
          <w:szCs w:val="24"/>
        </w:rPr>
        <w:t>corporation.</w:t>
      </w:r>
      <w:r w:rsidR="00E54994">
        <w:rPr>
          <w:rFonts w:ascii="Bookman Old Style" w:hAnsi="Bookman Old Style"/>
          <w:bCs/>
          <w:sz w:val="24"/>
          <w:szCs w:val="24"/>
        </w:rPr>
        <w:t xml:space="preserve"> For example, the 2021 return of </w:t>
      </w:r>
      <w:proofErr w:type="spellStart"/>
      <w:r w:rsidR="00E54994">
        <w:rPr>
          <w:rFonts w:ascii="Bookman Old Style" w:hAnsi="Bookman Old Style"/>
          <w:bCs/>
          <w:sz w:val="24"/>
          <w:szCs w:val="24"/>
        </w:rPr>
        <w:t>Kuwesuwi</w:t>
      </w:r>
      <w:proofErr w:type="spellEnd"/>
      <w:r w:rsidR="00E54994">
        <w:rPr>
          <w:rFonts w:ascii="Bookman Old Style" w:hAnsi="Bookman Old Style"/>
          <w:bCs/>
          <w:sz w:val="24"/>
          <w:szCs w:val="24"/>
        </w:rPr>
        <w:t xml:space="preserve"> </w:t>
      </w:r>
      <w:proofErr w:type="spellStart"/>
      <w:r w:rsidR="00E54994">
        <w:rPr>
          <w:rFonts w:ascii="Bookman Old Style" w:hAnsi="Bookman Old Style"/>
          <w:bCs/>
          <w:sz w:val="24"/>
          <w:szCs w:val="24"/>
        </w:rPr>
        <w:t>Moni</w:t>
      </w:r>
      <w:r w:rsidR="004D421C">
        <w:rPr>
          <w:rFonts w:ascii="Bookman Old Style" w:hAnsi="Bookman Old Style"/>
          <w:bCs/>
          <w:sz w:val="24"/>
          <w:szCs w:val="24"/>
        </w:rPr>
        <w:t>hq</w:t>
      </w:r>
      <w:proofErr w:type="spellEnd"/>
      <w:r w:rsidR="00E54994">
        <w:rPr>
          <w:rFonts w:ascii="Bookman Old Style" w:hAnsi="Bookman Old Style"/>
          <w:bCs/>
          <w:sz w:val="24"/>
          <w:szCs w:val="24"/>
        </w:rPr>
        <w:t xml:space="preserve">/Pine Island to the Passamaquoddy Tribe was a case where a conservation organization </w:t>
      </w:r>
      <w:r w:rsidR="0016341F">
        <w:rPr>
          <w:rFonts w:ascii="Bookman Old Style" w:hAnsi="Bookman Old Style"/>
          <w:bCs/>
          <w:sz w:val="24"/>
          <w:szCs w:val="24"/>
        </w:rPr>
        <w:t>transferre</w:t>
      </w:r>
      <w:r w:rsidR="00E54994">
        <w:rPr>
          <w:rFonts w:ascii="Bookman Old Style" w:hAnsi="Bookman Old Style"/>
          <w:bCs/>
          <w:sz w:val="24"/>
          <w:szCs w:val="24"/>
        </w:rPr>
        <w:t>d land from a private landowner to a Tribal government</w:t>
      </w:r>
      <w:r w:rsidR="0016341F">
        <w:rPr>
          <w:rStyle w:val="FootnoteReference"/>
          <w:rFonts w:ascii="Bookman Old Style" w:hAnsi="Bookman Old Style"/>
          <w:bCs/>
          <w:sz w:val="24"/>
          <w:szCs w:val="24"/>
        </w:rPr>
        <w:footnoteReference w:id="3"/>
      </w:r>
      <w:r w:rsidR="00E54994">
        <w:rPr>
          <w:rFonts w:ascii="Bookman Old Style" w:hAnsi="Bookman Old Style"/>
          <w:bCs/>
          <w:sz w:val="24"/>
          <w:szCs w:val="24"/>
        </w:rPr>
        <w:t>.</w:t>
      </w:r>
      <w:r>
        <w:rPr>
          <w:rFonts w:ascii="Bookman Old Style" w:hAnsi="Bookman Old Style"/>
          <w:bCs/>
          <w:sz w:val="24"/>
          <w:szCs w:val="24"/>
        </w:rPr>
        <w:t xml:space="preserve"> </w:t>
      </w:r>
      <w:r w:rsidR="00554762">
        <w:rPr>
          <w:rFonts w:ascii="Bookman Old Style" w:hAnsi="Bookman Old Style"/>
          <w:bCs/>
          <w:sz w:val="24"/>
          <w:szCs w:val="24"/>
        </w:rPr>
        <w:t>Land trusts are permitted to transfer land to other nonprofit 501(c)(3) organizations and to any governmental entities</w:t>
      </w:r>
      <w:r w:rsidR="00A73B76">
        <w:rPr>
          <w:rFonts w:ascii="Bookman Old Style" w:hAnsi="Bookman Old Style"/>
          <w:bCs/>
          <w:sz w:val="24"/>
          <w:szCs w:val="24"/>
        </w:rPr>
        <w:t>, and these sorts of transactions occur all the time</w:t>
      </w:r>
      <w:r w:rsidR="00554762">
        <w:rPr>
          <w:rFonts w:ascii="Bookman Old Style" w:hAnsi="Bookman Old Style"/>
          <w:bCs/>
          <w:sz w:val="24"/>
          <w:szCs w:val="24"/>
        </w:rPr>
        <w:t>.</w:t>
      </w:r>
      <w:r w:rsidR="00A73B76">
        <w:rPr>
          <w:rFonts w:ascii="Bookman Old Style" w:hAnsi="Bookman Old Style"/>
          <w:bCs/>
          <w:sz w:val="24"/>
          <w:szCs w:val="24"/>
        </w:rPr>
        <w:t xml:space="preserve"> For example, a land trust will often pre-acquire an important parcel and then convey it to a municipality or the state for long-term ownership.</w:t>
      </w:r>
      <w:r w:rsidR="00554762">
        <w:rPr>
          <w:rFonts w:ascii="Bookman Old Style" w:hAnsi="Bookman Old Style"/>
          <w:bCs/>
          <w:sz w:val="24"/>
          <w:szCs w:val="24"/>
        </w:rPr>
        <w:t xml:space="preserve"> There are valid questions as to whether any given parcel of returned land should be protected through a conservation easement or some other </w:t>
      </w:r>
      <w:r w:rsidR="00A73B76">
        <w:rPr>
          <w:rFonts w:ascii="Bookman Old Style" w:hAnsi="Bookman Old Style"/>
          <w:bCs/>
          <w:sz w:val="24"/>
          <w:szCs w:val="24"/>
        </w:rPr>
        <w:t xml:space="preserve">formal </w:t>
      </w:r>
      <w:r w:rsidR="00554762">
        <w:rPr>
          <w:rFonts w:ascii="Bookman Old Style" w:hAnsi="Bookman Old Style"/>
          <w:bCs/>
          <w:sz w:val="24"/>
          <w:szCs w:val="24"/>
        </w:rPr>
        <w:t>mechanism, but th</w:t>
      </w:r>
      <w:r w:rsidR="001C2EEC">
        <w:rPr>
          <w:rFonts w:ascii="Bookman Old Style" w:hAnsi="Bookman Old Style"/>
          <w:bCs/>
          <w:sz w:val="24"/>
          <w:szCs w:val="24"/>
        </w:rPr>
        <w:t xml:space="preserve">ose are programmatic questions, </w:t>
      </w:r>
      <w:r w:rsidR="00554762">
        <w:rPr>
          <w:rFonts w:ascii="Bookman Old Style" w:hAnsi="Bookman Old Style"/>
          <w:bCs/>
          <w:sz w:val="24"/>
          <w:szCs w:val="24"/>
        </w:rPr>
        <w:t xml:space="preserve">not legal </w:t>
      </w:r>
      <w:r w:rsidR="00A73B76">
        <w:rPr>
          <w:rFonts w:ascii="Bookman Old Style" w:hAnsi="Bookman Old Style"/>
          <w:bCs/>
          <w:sz w:val="24"/>
          <w:szCs w:val="24"/>
        </w:rPr>
        <w:t>requirements</w:t>
      </w:r>
      <w:r w:rsidR="00554762">
        <w:rPr>
          <w:rFonts w:ascii="Bookman Old Style" w:hAnsi="Bookman Old Style"/>
          <w:bCs/>
          <w:sz w:val="24"/>
          <w:szCs w:val="24"/>
        </w:rPr>
        <w:t xml:space="preserve">. </w:t>
      </w:r>
    </w:p>
    <w:p w14:paraId="6F1404F0" w14:textId="6E0E5C67" w:rsidR="00F34F02" w:rsidRDefault="00F34F02" w:rsidP="00447A23">
      <w:pPr>
        <w:rPr>
          <w:rFonts w:ascii="Bookman Old Style" w:hAnsi="Bookman Old Style"/>
          <w:bCs/>
          <w:sz w:val="24"/>
          <w:szCs w:val="24"/>
        </w:rPr>
      </w:pPr>
    </w:p>
    <w:p w14:paraId="3FC6184A" w14:textId="77777777" w:rsidR="002B54D7" w:rsidRDefault="00A73B76" w:rsidP="00447A23">
      <w:pPr>
        <w:rPr>
          <w:rFonts w:ascii="Bookman Old Style" w:hAnsi="Bookman Old Style"/>
          <w:bCs/>
          <w:sz w:val="24"/>
          <w:szCs w:val="24"/>
          <w:lang w:val="en-US"/>
        </w:rPr>
      </w:pPr>
      <w:r>
        <w:rPr>
          <w:rFonts w:ascii="Bookman Old Style" w:hAnsi="Bookman Old Style"/>
          <w:bCs/>
          <w:sz w:val="24"/>
          <w:szCs w:val="24"/>
        </w:rPr>
        <w:t>C</w:t>
      </w:r>
      <w:r w:rsidR="00F34F02">
        <w:rPr>
          <w:rFonts w:ascii="Bookman Old Style" w:hAnsi="Bookman Old Style"/>
          <w:bCs/>
          <w:sz w:val="24"/>
          <w:szCs w:val="24"/>
        </w:rPr>
        <w:t xml:space="preserve">oncerns about </w:t>
      </w:r>
      <w:r w:rsidR="00C149A7">
        <w:rPr>
          <w:rFonts w:ascii="Bookman Old Style" w:hAnsi="Bookman Old Style"/>
          <w:bCs/>
          <w:sz w:val="24"/>
          <w:szCs w:val="24"/>
        </w:rPr>
        <w:t>a land trust acting outside the scope of its charitable purposes would be enhanced if the project involves the granting of land to a specific individual or family.</w:t>
      </w:r>
      <w:r w:rsidR="00086970">
        <w:rPr>
          <w:rFonts w:ascii="Bookman Old Style" w:hAnsi="Bookman Old Style"/>
          <w:bCs/>
          <w:sz w:val="24"/>
          <w:szCs w:val="24"/>
        </w:rPr>
        <w:t xml:space="preserve"> That said, </w:t>
      </w:r>
      <w:r w:rsidR="00086970" w:rsidRPr="00086970">
        <w:rPr>
          <w:rFonts w:ascii="Bookman Old Style" w:hAnsi="Bookman Old Style"/>
          <w:bCs/>
          <w:sz w:val="24"/>
          <w:szCs w:val="24"/>
          <w:lang w:val="en-US"/>
        </w:rPr>
        <w:t xml:space="preserve">even a return of land to an individual or family could be justified if there is evidence that such land was acquired by illegal, deceptive, or coercive means. In analogous situations, many art museums have </w:t>
      </w:r>
      <w:r w:rsidR="00086970" w:rsidRPr="00086970">
        <w:rPr>
          <w:rFonts w:ascii="Bookman Old Style" w:hAnsi="Bookman Old Style"/>
          <w:bCs/>
          <w:sz w:val="24"/>
          <w:szCs w:val="24"/>
          <w:lang w:val="en-US"/>
        </w:rPr>
        <w:lastRenderedPageBreak/>
        <w:t xml:space="preserve">returned works of art to </w:t>
      </w:r>
      <w:r w:rsidR="00086970">
        <w:rPr>
          <w:rFonts w:ascii="Bookman Old Style" w:hAnsi="Bookman Old Style"/>
          <w:bCs/>
          <w:sz w:val="24"/>
          <w:szCs w:val="24"/>
          <w:lang w:val="en-US"/>
        </w:rPr>
        <w:t xml:space="preserve">the </w:t>
      </w:r>
      <w:r w:rsidR="00086970" w:rsidRPr="00086970">
        <w:rPr>
          <w:rFonts w:ascii="Bookman Old Style" w:hAnsi="Bookman Old Style"/>
          <w:bCs/>
          <w:sz w:val="24"/>
          <w:szCs w:val="24"/>
          <w:lang w:val="en-US"/>
        </w:rPr>
        <w:t>descendants</w:t>
      </w:r>
      <w:r w:rsidR="00086970">
        <w:rPr>
          <w:rFonts w:ascii="Bookman Old Style" w:hAnsi="Bookman Old Style"/>
          <w:bCs/>
          <w:sz w:val="24"/>
          <w:szCs w:val="24"/>
          <w:lang w:val="en-US"/>
        </w:rPr>
        <w:t xml:space="preserve"> of previous owners, even when the art had changed hands several times and was acquired by the museums with no knowledge of past wrongdoing</w:t>
      </w:r>
      <w:r w:rsidR="00086970" w:rsidRPr="00086970">
        <w:rPr>
          <w:rFonts w:ascii="Bookman Old Style" w:hAnsi="Bookman Old Style"/>
          <w:bCs/>
          <w:sz w:val="24"/>
          <w:szCs w:val="24"/>
          <w:lang w:val="en-US"/>
        </w:rPr>
        <w:t>.</w:t>
      </w:r>
    </w:p>
    <w:p w14:paraId="396E21E2" w14:textId="77777777" w:rsidR="002B54D7" w:rsidRDefault="002B54D7" w:rsidP="00447A23">
      <w:pPr>
        <w:rPr>
          <w:rFonts w:ascii="Bookman Old Style" w:hAnsi="Bookman Old Style"/>
          <w:bCs/>
          <w:sz w:val="24"/>
          <w:szCs w:val="24"/>
          <w:lang w:val="en-US"/>
        </w:rPr>
      </w:pPr>
    </w:p>
    <w:p w14:paraId="0391884E" w14:textId="77777777" w:rsidR="004D5D36" w:rsidRDefault="002B54D7" w:rsidP="00447A23">
      <w:pPr>
        <w:rPr>
          <w:rFonts w:ascii="Bookman Old Style" w:hAnsi="Bookman Old Style"/>
          <w:bCs/>
          <w:sz w:val="24"/>
          <w:szCs w:val="24"/>
          <w:lang w:val="en-US"/>
        </w:rPr>
      </w:pPr>
      <w:r>
        <w:rPr>
          <w:rFonts w:ascii="Bookman Old Style" w:hAnsi="Bookman Old Style"/>
          <w:bCs/>
          <w:sz w:val="24"/>
          <w:szCs w:val="24"/>
          <w:lang w:val="en-US"/>
        </w:rPr>
        <w:t>One other important caveat</w:t>
      </w:r>
      <w:r w:rsidR="004D5D36">
        <w:rPr>
          <w:rFonts w:ascii="Bookman Old Style" w:hAnsi="Bookman Old Style"/>
          <w:bCs/>
          <w:sz w:val="24"/>
          <w:szCs w:val="24"/>
          <w:lang w:val="en-US"/>
        </w:rPr>
        <w:t>:</w:t>
      </w:r>
      <w:r>
        <w:rPr>
          <w:rFonts w:ascii="Bookman Old Style" w:hAnsi="Bookman Old Style"/>
          <w:bCs/>
          <w:sz w:val="24"/>
          <w:szCs w:val="24"/>
          <w:lang w:val="en-US"/>
        </w:rPr>
        <w:t xml:space="preserve"> Many land trusts have a provision in their Articles or Bylaws that requires a supermajority vote of the Board and/or the Members </w:t>
      </w:r>
      <w:proofErr w:type="gramStart"/>
      <w:r>
        <w:rPr>
          <w:rFonts w:ascii="Bookman Old Style" w:hAnsi="Bookman Old Style"/>
          <w:bCs/>
          <w:sz w:val="24"/>
          <w:szCs w:val="24"/>
          <w:lang w:val="en-US"/>
        </w:rPr>
        <w:t>in order to</w:t>
      </w:r>
      <w:proofErr w:type="gramEnd"/>
      <w:r>
        <w:rPr>
          <w:rFonts w:ascii="Bookman Old Style" w:hAnsi="Bookman Old Style"/>
          <w:bCs/>
          <w:sz w:val="24"/>
          <w:szCs w:val="24"/>
          <w:lang w:val="en-US"/>
        </w:rPr>
        <w:t xml:space="preserve"> transfer any interest in real property. A land trust that is considering a land back project should make sure that it checks for such a provision and complies with it. </w:t>
      </w:r>
    </w:p>
    <w:p w14:paraId="4A26280F" w14:textId="77777777" w:rsidR="004D5D36" w:rsidRDefault="004D5D36" w:rsidP="00447A23">
      <w:pPr>
        <w:rPr>
          <w:rFonts w:ascii="Bookman Old Style" w:hAnsi="Bookman Old Style"/>
          <w:bCs/>
          <w:sz w:val="24"/>
          <w:szCs w:val="24"/>
          <w:lang w:val="en-US"/>
        </w:rPr>
      </w:pPr>
    </w:p>
    <w:p w14:paraId="37FBC6F1" w14:textId="3F0F555F" w:rsidR="00F34F02" w:rsidRPr="00680CD6" w:rsidRDefault="004D5D36" w:rsidP="00447A23">
      <w:pPr>
        <w:rPr>
          <w:rFonts w:ascii="Bookman Old Style" w:hAnsi="Bookman Old Style"/>
          <w:bCs/>
          <w:sz w:val="24"/>
          <w:szCs w:val="24"/>
        </w:rPr>
      </w:pPr>
      <w:r>
        <w:rPr>
          <w:rFonts w:ascii="Bookman Old Style" w:hAnsi="Bookman Old Style"/>
          <w:bCs/>
          <w:sz w:val="24"/>
          <w:szCs w:val="24"/>
          <w:lang w:val="en-US"/>
        </w:rPr>
        <w:t>E</w:t>
      </w:r>
      <w:r w:rsidR="00DD27AB">
        <w:rPr>
          <w:rFonts w:ascii="Bookman Old Style" w:hAnsi="Bookman Old Style"/>
          <w:bCs/>
          <w:sz w:val="24"/>
          <w:szCs w:val="24"/>
          <w:lang w:val="en-US"/>
        </w:rPr>
        <w:t xml:space="preserve">ven if no such </w:t>
      </w:r>
      <w:r>
        <w:rPr>
          <w:rFonts w:ascii="Bookman Old Style" w:hAnsi="Bookman Old Style"/>
          <w:bCs/>
          <w:sz w:val="24"/>
          <w:szCs w:val="24"/>
          <w:lang w:val="en-US"/>
        </w:rPr>
        <w:t xml:space="preserve">member-approval </w:t>
      </w:r>
      <w:r w:rsidR="00DD27AB">
        <w:rPr>
          <w:rFonts w:ascii="Bookman Old Style" w:hAnsi="Bookman Old Style"/>
          <w:bCs/>
          <w:sz w:val="24"/>
          <w:szCs w:val="24"/>
          <w:lang w:val="en-US"/>
        </w:rPr>
        <w:t xml:space="preserve">provision exists, a land trust Board may choose to seek the approval of its Members to engage in a land back project. </w:t>
      </w:r>
      <w:r w:rsidR="00336282">
        <w:rPr>
          <w:rFonts w:ascii="Bookman Old Style" w:hAnsi="Bookman Old Style"/>
          <w:bCs/>
          <w:sz w:val="24"/>
          <w:szCs w:val="24"/>
          <w:lang w:val="en-US"/>
        </w:rPr>
        <w:t>B</w:t>
      </w:r>
      <w:r w:rsidR="00DD27AB">
        <w:rPr>
          <w:rFonts w:ascii="Bookman Old Style" w:hAnsi="Bookman Old Style"/>
          <w:bCs/>
          <w:sz w:val="24"/>
          <w:szCs w:val="24"/>
          <w:lang w:val="en-US"/>
        </w:rPr>
        <w:t xml:space="preserve">ringing such a topic before the Members </w:t>
      </w:r>
      <w:r w:rsidR="00336282">
        <w:rPr>
          <w:rFonts w:ascii="Bookman Old Style" w:hAnsi="Bookman Old Style"/>
          <w:bCs/>
          <w:sz w:val="24"/>
          <w:szCs w:val="24"/>
          <w:lang w:val="en-US"/>
        </w:rPr>
        <w:t>would be a delicate undertaking</w:t>
      </w:r>
      <w:r>
        <w:rPr>
          <w:rFonts w:ascii="Bookman Old Style" w:hAnsi="Bookman Old Style"/>
          <w:bCs/>
          <w:sz w:val="24"/>
          <w:szCs w:val="24"/>
          <w:lang w:val="en-US"/>
        </w:rPr>
        <w:t xml:space="preserve">, </w:t>
      </w:r>
      <w:r w:rsidR="00336282">
        <w:rPr>
          <w:rFonts w:ascii="Bookman Old Style" w:hAnsi="Bookman Old Style"/>
          <w:bCs/>
          <w:sz w:val="24"/>
          <w:szCs w:val="24"/>
          <w:lang w:val="en-US"/>
        </w:rPr>
        <w:t xml:space="preserve">but </w:t>
      </w:r>
      <w:r>
        <w:rPr>
          <w:rFonts w:ascii="Bookman Old Style" w:hAnsi="Bookman Old Style"/>
          <w:bCs/>
          <w:sz w:val="24"/>
          <w:szCs w:val="24"/>
          <w:lang w:val="en-US"/>
        </w:rPr>
        <w:t xml:space="preserve">it could be a wonderful way for the community to become a part of the discussion. Furthermore, </w:t>
      </w:r>
      <w:r w:rsidR="00DD27AB">
        <w:rPr>
          <w:rFonts w:ascii="Bookman Old Style" w:hAnsi="Bookman Old Style"/>
          <w:bCs/>
          <w:sz w:val="24"/>
          <w:szCs w:val="24"/>
          <w:lang w:val="en-US"/>
        </w:rPr>
        <w:t xml:space="preserve">such a step may be </w:t>
      </w:r>
      <w:r>
        <w:rPr>
          <w:rFonts w:ascii="Bookman Old Style" w:hAnsi="Bookman Old Style"/>
          <w:bCs/>
          <w:sz w:val="24"/>
          <w:szCs w:val="24"/>
          <w:lang w:val="en-US"/>
        </w:rPr>
        <w:t>helpful</w:t>
      </w:r>
      <w:r w:rsidR="00DD27AB">
        <w:rPr>
          <w:rFonts w:ascii="Bookman Old Style" w:hAnsi="Bookman Old Style"/>
          <w:bCs/>
          <w:sz w:val="24"/>
          <w:szCs w:val="24"/>
          <w:lang w:val="en-US"/>
        </w:rPr>
        <w:t xml:space="preserve"> in giving the Board Directors</w:t>
      </w:r>
      <w:r>
        <w:rPr>
          <w:rFonts w:ascii="Bookman Old Style" w:hAnsi="Bookman Old Style"/>
          <w:bCs/>
          <w:sz w:val="24"/>
          <w:szCs w:val="24"/>
          <w:lang w:val="en-US"/>
        </w:rPr>
        <w:t xml:space="preserve"> (or a portion of the Board) more</w:t>
      </w:r>
      <w:r w:rsidR="00DD27AB">
        <w:rPr>
          <w:rFonts w:ascii="Bookman Old Style" w:hAnsi="Bookman Old Style"/>
          <w:bCs/>
          <w:sz w:val="24"/>
          <w:szCs w:val="24"/>
          <w:lang w:val="en-US"/>
        </w:rPr>
        <w:t xml:space="preserve"> comfort in proceeding with a land back project. </w:t>
      </w:r>
    </w:p>
    <w:p w14:paraId="7D422941" w14:textId="77777777" w:rsidR="00447A23" w:rsidRPr="00680CD6" w:rsidRDefault="00447A23" w:rsidP="00447A23">
      <w:pPr>
        <w:rPr>
          <w:rFonts w:ascii="Bookman Old Style" w:hAnsi="Bookman Old Style"/>
          <w:sz w:val="24"/>
          <w:szCs w:val="24"/>
        </w:rPr>
      </w:pPr>
    </w:p>
    <w:p w14:paraId="00000007" w14:textId="4B6A8B9C" w:rsidR="008B0757" w:rsidRPr="00680CD6" w:rsidRDefault="00F64CAC" w:rsidP="0022450C">
      <w:pPr>
        <w:numPr>
          <w:ilvl w:val="0"/>
          <w:numId w:val="1"/>
        </w:numPr>
        <w:ind w:left="360"/>
        <w:rPr>
          <w:rFonts w:ascii="Bookman Old Style" w:hAnsi="Bookman Old Style"/>
          <w:sz w:val="24"/>
          <w:szCs w:val="24"/>
        </w:rPr>
      </w:pPr>
      <w:r w:rsidRPr="00680CD6">
        <w:rPr>
          <w:rFonts w:ascii="Bookman Old Style" w:hAnsi="Bookman Old Style"/>
          <w:b/>
          <w:sz w:val="24"/>
          <w:szCs w:val="24"/>
        </w:rPr>
        <w:t xml:space="preserve">Perceived Barrier: </w:t>
      </w:r>
      <w:r w:rsidRPr="00680CD6">
        <w:rPr>
          <w:rFonts w:ascii="Bookman Old Style" w:hAnsi="Bookman Old Style"/>
          <w:sz w:val="24"/>
          <w:szCs w:val="24"/>
        </w:rPr>
        <w:t xml:space="preserve">Oftentimes, land trust staff invoke “private inurement” or </w:t>
      </w:r>
      <w:r w:rsidR="00336282">
        <w:rPr>
          <w:rFonts w:ascii="Bookman Old Style" w:hAnsi="Bookman Old Style"/>
          <w:sz w:val="24"/>
          <w:szCs w:val="24"/>
        </w:rPr>
        <w:t>“</w:t>
      </w:r>
      <w:r w:rsidRPr="00680CD6">
        <w:rPr>
          <w:rFonts w:ascii="Bookman Old Style" w:hAnsi="Bookman Old Style"/>
          <w:sz w:val="24"/>
          <w:szCs w:val="24"/>
        </w:rPr>
        <w:t>private benefit” as reasons why they cannot promote access to their sites any particular group (</w:t>
      </w:r>
      <w:proofErr w:type="gramStart"/>
      <w:r w:rsidRPr="00680CD6">
        <w:rPr>
          <w:rFonts w:ascii="Bookman Old Style" w:hAnsi="Bookman Old Style"/>
          <w:sz w:val="24"/>
          <w:szCs w:val="24"/>
        </w:rPr>
        <w:t>e.g.</w:t>
      </w:r>
      <w:proofErr w:type="gramEnd"/>
      <w:r w:rsidRPr="00680CD6">
        <w:rPr>
          <w:rFonts w:ascii="Bookman Old Style" w:hAnsi="Bookman Old Style"/>
          <w:sz w:val="24"/>
          <w:szCs w:val="24"/>
        </w:rPr>
        <w:t xml:space="preserve"> Indigenous groups, schoolteachers, clammers, etc.).</w:t>
      </w:r>
    </w:p>
    <w:p w14:paraId="7681214C" w14:textId="77777777" w:rsidR="009E6B99" w:rsidRDefault="009E6B99" w:rsidP="009E6B99">
      <w:pPr>
        <w:rPr>
          <w:rFonts w:ascii="Bookman Old Style" w:hAnsi="Bookman Old Style"/>
          <w:b/>
          <w:sz w:val="24"/>
          <w:szCs w:val="24"/>
        </w:rPr>
      </w:pPr>
    </w:p>
    <w:p w14:paraId="00000008" w14:textId="11EE691B" w:rsidR="008B0757" w:rsidRDefault="00F64CAC" w:rsidP="009E6B99">
      <w:pPr>
        <w:ind w:left="360"/>
        <w:rPr>
          <w:rFonts w:ascii="Bookman Old Style" w:hAnsi="Bookman Old Style"/>
          <w:sz w:val="24"/>
          <w:szCs w:val="24"/>
        </w:rPr>
      </w:pPr>
      <w:r w:rsidRPr="00680CD6">
        <w:rPr>
          <w:rFonts w:ascii="Bookman Old Style" w:hAnsi="Bookman Old Style"/>
          <w:b/>
          <w:sz w:val="24"/>
          <w:szCs w:val="24"/>
        </w:rPr>
        <w:t xml:space="preserve">Question: </w:t>
      </w:r>
      <w:r w:rsidR="00E91B5E">
        <w:rPr>
          <w:rFonts w:ascii="Bookman Old Style" w:hAnsi="Bookman Old Style"/>
          <w:sz w:val="24"/>
          <w:szCs w:val="24"/>
        </w:rPr>
        <w:t>Does private benefit or private inurement apply to a transaction or an activity between a land trust and an Indigenous entity</w:t>
      </w:r>
      <w:r w:rsidRPr="00680CD6">
        <w:rPr>
          <w:rFonts w:ascii="Bookman Old Style" w:hAnsi="Bookman Old Style"/>
          <w:sz w:val="24"/>
          <w:szCs w:val="24"/>
        </w:rPr>
        <w:t>? How does the definition of private benefi</w:t>
      </w:r>
      <w:r w:rsidR="00E91B5E">
        <w:rPr>
          <w:rFonts w:ascii="Bookman Old Style" w:hAnsi="Bookman Old Style"/>
          <w:sz w:val="24"/>
          <w:szCs w:val="24"/>
        </w:rPr>
        <w:t>t</w:t>
      </w:r>
      <w:r w:rsidRPr="00680CD6">
        <w:rPr>
          <w:rFonts w:ascii="Bookman Old Style" w:hAnsi="Bookman Old Style"/>
          <w:sz w:val="24"/>
          <w:szCs w:val="24"/>
        </w:rPr>
        <w:t xml:space="preserve"> vary based on whether an Indig</w:t>
      </w:r>
      <w:r w:rsidR="0022450C">
        <w:rPr>
          <w:rFonts w:ascii="Bookman Old Style" w:hAnsi="Bookman Old Style"/>
          <w:sz w:val="24"/>
          <w:szCs w:val="24"/>
        </w:rPr>
        <w:t>e</w:t>
      </w:r>
      <w:r w:rsidRPr="00680CD6">
        <w:rPr>
          <w:rFonts w:ascii="Bookman Old Style" w:hAnsi="Bookman Old Style"/>
          <w:sz w:val="24"/>
          <w:szCs w:val="24"/>
        </w:rPr>
        <w:t xml:space="preserve">nous group is </w:t>
      </w:r>
      <w:proofErr w:type="gramStart"/>
      <w:r w:rsidRPr="00680CD6">
        <w:rPr>
          <w:rFonts w:ascii="Bookman Old Style" w:hAnsi="Bookman Old Style"/>
          <w:sz w:val="24"/>
          <w:szCs w:val="24"/>
        </w:rPr>
        <w:t>federally-recognized</w:t>
      </w:r>
      <w:proofErr w:type="gramEnd"/>
      <w:r w:rsidRPr="00680CD6">
        <w:rPr>
          <w:rFonts w:ascii="Bookman Old Style" w:hAnsi="Bookman Old Style"/>
          <w:sz w:val="24"/>
          <w:szCs w:val="24"/>
        </w:rPr>
        <w:t>, state-acknowledged, part of another formally organized entity (like an Indigenous 501(c)(3)), or unrecognized?</w:t>
      </w:r>
    </w:p>
    <w:p w14:paraId="282DBAFA" w14:textId="7D6ACD14" w:rsidR="006E31FC" w:rsidRDefault="006E31FC" w:rsidP="006E31FC">
      <w:pPr>
        <w:ind w:left="1080"/>
        <w:rPr>
          <w:rFonts w:ascii="Bookman Old Style" w:hAnsi="Bookman Old Style"/>
          <w:b/>
          <w:sz w:val="24"/>
          <w:szCs w:val="24"/>
        </w:rPr>
      </w:pPr>
    </w:p>
    <w:p w14:paraId="7FCEE90D" w14:textId="77777777" w:rsidR="009338B2" w:rsidRDefault="006E31FC" w:rsidP="006E31FC">
      <w:pPr>
        <w:rPr>
          <w:rFonts w:ascii="Bookman Old Style" w:hAnsi="Bookman Old Style"/>
          <w:bCs/>
          <w:sz w:val="24"/>
          <w:szCs w:val="24"/>
        </w:rPr>
      </w:pPr>
      <w:r>
        <w:rPr>
          <w:rFonts w:ascii="Bookman Old Style" w:hAnsi="Bookman Old Style"/>
          <w:b/>
          <w:sz w:val="24"/>
          <w:szCs w:val="24"/>
        </w:rPr>
        <w:t>Rob Levin Reply:</w:t>
      </w:r>
      <w:r>
        <w:rPr>
          <w:rFonts w:ascii="Bookman Old Style" w:hAnsi="Bookman Old Style"/>
          <w:bCs/>
          <w:sz w:val="24"/>
          <w:szCs w:val="24"/>
        </w:rPr>
        <w:t xml:space="preserve"> </w:t>
      </w:r>
    </w:p>
    <w:p w14:paraId="1BCA5C6A" w14:textId="77777777" w:rsidR="009338B2" w:rsidRDefault="009338B2" w:rsidP="006E31FC">
      <w:pPr>
        <w:rPr>
          <w:rFonts w:ascii="Bookman Old Style" w:hAnsi="Bookman Old Style"/>
          <w:bCs/>
          <w:sz w:val="24"/>
          <w:szCs w:val="24"/>
        </w:rPr>
      </w:pPr>
    </w:p>
    <w:p w14:paraId="2E7B9124" w14:textId="332F22A2" w:rsidR="0025163E" w:rsidRDefault="006E31FC" w:rsidP="006E31FC">
      <w:pPr>
        <w:rPr>
          <w:rFonts w:ascii="Bookman Old Style" w:hAnsi="Bookman Old Style"/>
          <w:bCs/>
          <w:sz w:val="24"/>
          <w:szCs w:val="24"/>
          <w:lang w:val="en-US"/>
        </w:rPr>
      </w:pPr>
      <w:r>
        <w:rPr>
          <w:rFonts w:ascii="Bookman Old Style" w:hAnsi="Bookman Old Style"/>
          <w:bCs/>
          <w:sz w:val="24"/>
          <w:szCs w:val="24"/>
        </w:rPr>
        <w:t>As noted above, every 501(c)(3) organization</w:t>
      </w:r>
      <w:r w:rsidR="009338B2">
        <w:rPr>
          <w:rFonts w:ascii="Bookman Old Style" w:hAnsi="Bookman Old Style"/>
          <w:bCs/>
          <w:sz w:val="24"/>
          <w:szCs w:val="24"/>
        </w:rPr>
        <w:t>, including land trusts,</w:t>
      </w:r>
      <w:r>
        <w:rPr>
          <w:rFonts w:ascii="Bookman Old Style" w:hAnsi="Bookman Old Style"/>
          <w:bCs/>
          <w:sz w:val="24"/>
          <w:szCs w:val="24"/>
        </w:rPr>
        <w:t xml:space="preserve"> must comply with </w:t>
      </w:r>
      <w:r w:rsidR="00BE672B">
        <w:rPr>
          <w:rFonts w:ascii="Bookman Old Style" w:hAnsi="Bookman Old Style"/>
          <w:bCs/>
          <w:sz w:val="24"/>
          <w:szCs w:val="24"/>
        </w:rPr>
        <w:t xml:space="preserve">the so-called “private benefit” </w:t>
      </w:r>
      <w:r w:rsidR="009338B2">
        <w:rPr>
          <w:rFonts w:ascii="Bookman Old Style" w:hAnsi="Bookman Old Style"/>
          <w:bCs/>
          <w:sz w:val="24"/>
          <w:szCs w:val="24"/>
        </w:rPr>
        <w:t>doctrine</w:t>
      </w:r>
      <w:r w:rsidR="00BE672B">
        <w:rPr>
          <w:rFonts w:ascii="Bookman Old Style" w:hAnsi="Bookman Old Style"/>
          <w:bCs/>
          <w:sz w:val="24"/>
          <w:szCs w:val="24"/>
        </w:rPr>
        <w:t xml:space="preserve"> t</w:t>
      </w:r>
      <w:r>
        <w:rPr>
          <w:rFonts w:ascii="Bookman Old Style" w:hAnsi="Bookman Old Style"/>
          <w:bCs/>
          <w:sz w:val="24"/>
          <w:szCs w:val="24"/>
        </w:rPr>
        <w:t>o ensure that it is operating for the benefit of the public and not for the benefit of any private individuals or businesses.</w:t>
      </w:r>
      <w:r w:rsidR="00BE672B">
        <w:rPr>
          <w:rStyle w:val="FootnoteReference"/>
          <w:rFonts w:ascii="Bookman Old Style" w:hAnsi="Bookman Old Style"/>
          <w:bCs/>
          <w:sz w:val="24"/>
          <w:szCs w:val="24"/>
        </w:rPr>
        <w:footnoteReference w:id="4"/>
      </w:r>
      <w:r w:rsidR="0025163E" w:rsidRPr="0025163E">
        <w:rPr>
          <w:rFonts w:ascii="Bookman Old Style" w:hAnsi="Bookman Old Style"/>
          <w:bCs/>
          <w:sz w:val="24"/>
          <w:szCs w:val="24"/>
          <w:lang w:val="en-US"/>
        </w:rPr>
        <w:t xml:space="preserve"> </w:t>
      </w:r>
      <w:r w:rsidR="0025163E">
        <w:rPr>
          <w:rFonts w:ascii="Bookman Old Style" w:hAnsi="Bookman Old Style"/>
          <w:bCs/>
          <w:sz w:val="24"/>
          <w:szCs w:val="24"/>
          <w:lang w:val="en-US"/>
        </w:rPr>
        <w:t>In a nutshell, t</w:t>
      </w:r>
      <w:r w:rsidR="0025163E" w:rsidRPr="00B62D81">
        <w:rPr>
          <w:rFonts w:ascii="Bookman Old Style" w:hAnsi="Bookman Old Style"/>
          <w:bCs/>
          <w:sz w:val="24"/>
          <w:szCs w:val="24"/>
          <w:lang w:val="en-US"/>
        </w:rPr>
        <w:t xml:space="preserve">he private benefit </w:t>
      </w:r>
      <w:r w:rsidR="0025163E">
        <w:rPr>
          <w:rFonts w:ascii="Bookman Old Style" w:hAnsi="Bookman Old Style"/>
          <w:bCs/>
          <w:sz w:val="24"/>
          <w:szCs w:val="24"/>
          <w:lang w:val="en-US"/>
        </w:rPr>
        <w:t xml:space="preserve">doctrine </w:t>
      </w:r>
      <w:r w:rsidR="0025163E" w:rsidRPr="00B62D81">
        <w:rPr>
          <w:rFonts w:ascii="Bookman Old Style" w:hAnsi="Bookman Old Style"/>
          <w:bCs/>
          <w:sz w:val="24"/>
          <w:szCs w:val="24"/>
          <w:lang w:val="en-US"/>
        </w:rPr>
        <w:t xml:space="preserve">generally </w:t>
      </w:r>
      <w:r w:rsidR="0025163E" w:rsidRPr="00B62D81">
        <w:rPr>
          <w:rFonts w:ascii="Bookman Old Style" w:hAnsi="Bookman Old Style"/>
          <w:bCs/>
          <w:sz w:val="24"/>
          <w:szCs w:val="24"/>
          <w:lang w:val="en-US"/>
        </w:rPr>
        <w:lastRenderedPageBreak/>
        <w:t xml:space="preserve">prohibits a tax-exempt organization from using its assets to </w:t>
      </w:r>
      <w:r w:rsidR="00424A74">
        <w:rPr>
          <w:rFonts w:ascii="Bookman Old Style" w:hAnsi="Bookman Old Style"/>
          <w:bCs/>
          <w:sz w:val="24"/>
          <w:szCs w:val="24"/>
          <w:lang w:val="en-US"/>
        </w:rPr>
        <w:t>significantly</w:t>
      </w:r>
      <w:r w:rsidR="0025163E" w:rsidRPr="00B62D81">
        <w:rPr>
          <w:rFonts w:ascii="Bookman Old Style" w:hAnsi="Bookman Old Style"/>
          <w:bCs/>
          <w:sz w:val="24"/>
          <w:szCs w:val="24"/>
          <w:lang w:val="en-US"/>
        </w:rPr>
        <w:t xml:space="preserve"> benefit </w:t>
      </w:r>
      <w:r w:rsidR="0025163E" w:rsidRPr="00B62D81">
        <w:rPr>
          <w:rFonts w:ascii="Bookman Old Style" w:hAnsi="Bookman Old Style"/>
          <w:bCs/>
          <w:iCs/>
          <w:sz w:val="24"/>
          <w:szCs w:val="24"/>
          <w:lang w:val="en-US"/>
        </w:rPr>
        <w:t>a</w:t>
      </w:r>
      <w:r w:rsidR="004D421C">
        <w:rPr>
          <w:rFonts w:ascii="Bookman Old Style" w:hAnsi="Bookman Old Style"/>
          <w:bCs/>
          <w:iCs/>
          <w:sz w:val="24"/>
          <w:szCs w:val="24"/>
          <w:lang w:val="en-US"/>
        </w:rPr>
        <w:t>n</w:t>
      </w:r>
      <w:r w:rsidR="0025163E" w:rsidRPr="00B62D81">
        <w:rPr>
          <w:rFonts w:ascii="Bookman Old Style" w:hAnsi="Bookman Old Style"/>
          <w:bCs/>
          <w:iCs/>
          <w:sz w:val="24"/>
          <w:szCs w:val="24"/>
          <w:lang w:val="en-US"/>
        </w:rPr>
        <w:t xml:space="preserve"> </w:t>
      </w:r>
      <w:r w:rsidR="0025163E" w:rsidRPr="00B62D81">
        <w:rPr>
          <w:rFonts w:ascii="Bookman Old Style" w:hAnsi="Bookman Old Style"/>
          <w:bCs/>
          <w:sz w:val="24"/>
          <w:szCs w:val="24"/>
          <w:lang w:val="en-US"/>
        </w:rPr>
        <w:t xml:space="preserve">individual or </w:t>
      </w:r>
      <w:r w:rsidR="0025163E">
        <w:rPr>
          <w:rFonts w:ascii="Bookman Old Style" w:hAnsi="Bookman Old Style"/>
          <w:bCs/>
          <w:sz w:val="24"/>
          <w:szCs w:val="24"/>
          <w:lang w:val="en-US"/>
        </w:rPr>
        <w:t>business</w:t>
      </w:r>
      <w:r w:rsidR="0025163E" w:rsidRPr="00B62D81">
        <w:rPr>
          <w:rFonts w:ascii="Bookman Old Style" w:hAnsi="Bookman Old Style"/>
          <w:bCs/>
          <w:sz w:val="24"/>
          <w:szCs w:val="24"/>
          <w:lang w:val="en-US"/>
        </w:rPr>
        <w:t xml:space="preserve">. </w:t>
      </w:r>
      <w:r w:rsidR="00B62D81" w:rsidRPr="00B62D81">
        <w:rPr>
          <w:rFonts w:ascii="Bookman Old Style" w:hAnsi="Bookman Old Style"/>
          <w:bCs/>
          <w:sz w:val="24"/>
          <w:szCs w:val="24"/>
        </w:rPr>
        <w:t xml:space="preserve">The private benefit doctrine is not expressly codified in the Internal Revenue Code or the </w:t>
      </w:r>
      <w:proofErr w:type="gramStart"/>
      <w:r w:rsidR="00B62D81" w:rsidRPr="00B62D81">
        <w:rPr>
          <w:rFonts w:ascii="Bookman Old Style" w:hAnsi="Bookman Old Style"/>
          <w:bCs/>
          <w:sz w:val="24"/>
          <w:szCs w:val="24"/>
        </w:rPr>
        <w:t>regulations, but</w:t>
      </w:r>
      <w:proofErr w:type="gramEnd"/>
      <w:r w:rsidR="00B62D81" w:rsidRPr="00B62D81">
        <w:rPr>
          <w:rFonts w:ascii="Bookman Old Style" w:hAnsi="Bookman Old Style"/>
          <w:bCs/>
          <w:sz w:val="24"/>
          <w:szCs w:val="24"/>
        </w:rPr>
        <w:t xml:space="preserve"> is </w:t>
      </w:r>
      <w:r w:rsidR="009338B2">
        <w:rPr>
          <w:rFonts w:ascii="Bookman Old Style" w:hAnsi="Bookman Old Style"/>
          <w:bCs/>
          <w:sz w:val="24"/>
          <w:szCs w:val="24"/>
        </w:rPr>
        <w:t xml:space="preserve">derived from </w:t>
      </w:r>
      <w:r w:rsidR="00B62D81" w:rsidRPr="00B62D81">
        <w:rPr>
          <w:rFonts w:ascii="Bookman Old Style" w:hAnsi="Bookman Old Style"/>
          <w:bCs/>
          <w:sz w:val="24"/>
          <w:szCs w:val="24"/>
        </w:rPr>
        <w:t>the requirement that a tax-exempt charitable organization operate exclusively for exempt purposes</w:t>
      </w:r>
      <w:r w:rsidR="009338B2">
        <w:rPr>
          <w:rFonts w:ascii="Bookman Old Style" w:hAnsi="Bookman Old Style"/>
          <w:bCs/>
          <w:sz w:val="24"/>
          <w:szCs w:val="24"/>
        </w:rPr>
        <w:t xml:space="preserve">. Reg. </w:t>
      </w:r>
      <w:r w:rsidR="009338B2">
        <w:rPr>
          <w:rFonts w:ascii="Times New Roman" w:hAnsi="Times New Roman" w:cs="Times New Roman"/>
          <w:bCs/>
          <w:sz w:val="24"/>
          <w:szCs w:val="24"/>
        </w:rPr>
        <w:t>§</w:t>
      </w:r>
      <w:r w:rsidR="009338B2">
        <w:rPr>
          <w:rFonts w:ascii="Bookman Old Style" w:hAnsi="Bookman Old Style"/>
          <w:bCs/>
          <w:sz w:val="24"/>
          <w:szCs w:val="24"/>
        </w:rPr>
        <w:t xml:space="preserve"> </w:t>
      </w:r>
      <w:bookmarkStart w:id="0" w:name="OLE_LINK1"/>
      <w:r w:rsidR="009338B2" w:rsidRPr="009338B2">
        <w:rPr>
          <w:rFonts w:ascii="Bookman Old Style" w:hAnsi="Bookman Old Style"/>
          <w:bCs/>
          <w:sz w:val="24"/>
          <w:szCs w:val="24"/>
          <w:lang w:val="en-US"/>
        </w:rPr>
        <w:t>1.501</w:t>
      </w:r>
      <w:r w:rsidR="009338B2">
        <w:rPr>
          <w:rFonts w:ascii="Bookman Old Style" w:hAnsi="Bookman Old Style"/>
          <w:bCs/>
          <w:sz w:val="24"/>
          <w:szCs w:val="24"/>
          <w:lang w:val="en-US"/>
        </w:rPr>
        <w:t>(</w:t>
      </w:r>
      <w:r w:rsidR="009338B2" w:rsidRPr="009338B2">
        <w:rPr>
          <w:rFonts w:ascii="Bookman Old Style" w:hAnsi="Bookman Old Style"/>
          <w:bCs/>
          <w:sz w:val="24"/>
          <w:szCs w:val="24"/>
          <w:lang w:val="en-US"/>
        </w:rPr>
        <w:t>c</w:t>
      </w:r>
      <w:r w:rsidR="009338B2">
        <w:rPr>
          <w:rFonts w:ascii="Bookman Old Style" w:hAnsi="Bookman Old Style"/>
          <w:bCs/>
          <w:sz w:val="24"/>
          <w:szCs w:val="24"/>
          <w:lang w:val="en-US"/>
        </w:rPr>
        <w:t>)(</w:t>
      </w:r>
      <w:r w:rsidR="009338B2" w:rsidRPr="009338B2">
        <w:rPr>
          <w:rFonts w:ascii="Bookman Old Style" w:hAnsi="Bookman Old Style"/>
          <w:bCs/>
          <w:sz w:val="24"/>
          <w:szCs w:val="24"/>
          <w:lang w:val="en-US"/>
        </w:rPr>
        <w:t>3</w:t>
      </w:r>
      <w:r w:rsidR="009338B2">
        <w:rPr>
          <w:rFonts w:ascii="Bookman Old Style" w:hAnsi="Bookman Old Style"/>
          <w:bCs/>
          <w:sz w:val="24"/>
          <w:szCs w:val="24"/>
          <w:lang w:val="en-US"/>
        </w:rPr>
        <w:t>)</w:t>
      </w:r>
      <w:r w:rsidR="009338B2" w:rsidRPr="009338B2">
        <w:rPr>
          <w:rFonts w:ascii="Bookman Old Style" w:hAnsi="Bookman Old Style"/>
          <w:bCs/>
          <w:sz w:val="24"/>
          <w:szCs w:val="24"/>
          <w:lang w:val="en-US"/>
        </w:rPr>
        <w:t>-1</w:t>
      </w:r>
      <w:r w:rsidR="009338B2">
        <w:rPr>
          <w:rFonts w:ascii="Bookman Old Style" w:hAnsi="Bookman Old Style"/>
          <w:bCs/>
          <w:sz w:val="24"/>
          <w:szCs w:val="24"/>
          <w:lang w:val="en-US"/>
        </w:rPr>
        <w:t>(c)(</w:t>
      </w:r>
      <w:r w:rsidR="009338B2" w:rsidRPr="009338B2">
        <w:rPr>
          <w:rFonts w:ascii="Bookman Old Style" w:hAnsi="Bookman Old Style"/>
          <w:bCs/>
          <w:sz w:val="24"/>
          <w:szCs w:val="24"/>
          <w:lang w:val="en-US"/>
        </w:rPr>
        <w:t>1</w:t>
      </w:r>
      <w:r w:rsidR="009338B2">
        <w:rPr>
          <w:rFonts w:ascii="Bookman Old Style" w:hAnsi="Bookman Old Style"/>
          <w:bCs/>
          <w:sz w:val="24"/>
          <w:szCs w:val="24"/>
          <w:lang w:val="en-US"/>
        </w:rPr>
        <w:t>)</w:t>
      </w:r>
      <w:bookmarkEnd w:id="0"/>
      <w:r w:rsidR="009338B2">
        <w:rPr>
          <w:rFonts w:ascii="Bookman Old Style" w:hAnsi="Bookman Old Style"/>
          <w:bCs/>
          <w:sz w:val="24"/>
          <w:szCs w:val="24"/>
          <w:lang w:val="en-US"/>
        </w:rPr>
        <w:t>.</w:t>
      </w:r>
      <w:r w:rsidR="00B62D81" w:rsidRPr="00B62D81">
        <w:rPr>
          <w:rFonts w:ascii="Bookman Old Style" w:hAnsi="Bookman Old Style"/>
          <w:bCs/>
          <w:sz w:val="24"/>
          <w:szCs w:val="24"/>
          <w:lang w:val="en-US"/>
        </w:rPr>
        <w:t xml:space="preserve"> </w:t>
      </w:r>
    </w:p>
    <w:p w14:paraId="2A51E535" w14:textId="77777777" w:rsidR="00424A74" w:rsidRDefault="00424A74" w:rsidP="006E31FC">
      <w:pPr>
        <w:rPr>
          <w:rFonts w:ascii="Bookman Old Style" w:hAnsi="Bookman Old Style"/>
          <w:bCs/>
          <w:sz w:val="24"/>
          <w:szCs w:val="24"/>
          <w:lang w:val="en-US"/>
        </w:rPr>
      </w:pPr>
    </w:p>
    <w:p w14:paraId="3D75AB4B" w14:textId="5E3CA48E" w:rsidR="000B4A04" w:rsidRDefault="009338B2" w:rsidP="006E31FC">
      <w:pPr>
        <w:rPr>
          <w:rFonts w:ascii="Bookman Old Style" w:hAnsi="Bookman Old Style"/>
          <w:bCs/>
          <w:sz w:val="24"/>
          <w:szCs w:val="24"/>
          <w:lang w:val="en-US"/>
        </w:rPr>
      </w:pPr>
      <w:r>
        <w:rPr>
          <w:rFonts w:ascii="Bookman Old Style" w:hAnsi="Bookman Old Style"/>
          <w:bCs/>
          <w:sz w:val="24"/>
          <w:szCs w:val="24"/>
          <w:lang w:val="en-US"/>
        </w:rPr>
        <w:t xml:space="preserve">A </w:t>
      </w:r>
      <w:r w:rsidR="00B62D81">
        <w:rPr>
          <w:rFonts w:ascii="Bookman Old Style" w:hAnsi="Bookman Old Style"/>
          <w:bCs/>
          <w:sz w:val="24"/>
          <w:szCs w:val="24"/>
          <w:lang w:val="en-US"/>
        </w:rPr>
        <w:t>501(c)(3) o</w:t>
      </w:r>
      <w:r w:rsidR="00B62D81" w:rsidRPr="00B62D81">
        <w:rPr>
          <w:rFonts w:ascii="Bookman Old Style" w:hAnsi="Bookman Old Style"/>
          <w:bCs/>
          <w:sz w:val="24"/>
          <w:szCs w:val="24"/>
          <w:lang w:val="en-US"/>
        </w:rPr>
        <w:t>rganization that violates the private benefit prohibition risks monetary penalties</w:t>
      </w:r>
      <w:r w:rsidR="004577DA">
        <w:rPr>
          <w:rFonts w:ascii="Bookman Old Style" w:hAnsi="Bookman Old Style"/>
          <w:bCs/>
          <w:sz w:val="24"/>
          <w:szCs w:val="24"/>
          <w:lang w:val="en-US"/>
        </w:rPr>
        <w:t>, voiding of the transaction,</w:t>
      </w:r>
      <w:r w:rsidR="00B62D81" w:rsidRPr="00B62D81">
        <w:rPr>
          <w:rFonts w:ascii="Bookman Old Style" w:hAnsi="Bookman Old Style"/>
          <w:bCs/>
          <w:sz w:val="24"/>
          <w:szCs w:val="24"/>
          <w:lang w:val="en-US"/>
        </w:rPr>
        <w:t xml:space="preserve"> and, in egregious circumstances, loss of its tax-exempt status.</w:t>
      </w:r>
      <w:r w:rsidR="00B62D81" w:rsidRPr="00B62D81">
        <w:rPr>
          <w:rFonts w:ascii="Bookman Old Style" w:hAnsi="Bookman Old Style"/>
          <w:bCs/>
          <w:sz w:val="24"/>
          <w:szCs w:val="24"/>
        </w:rPr>
        <w:t xml:space="preserve"> </w:t>
      </w:r>
      <w:r>
        <w:rPr>
          <w:rFonts w:ascii="Bookman Old Style" w:hAnsi="Bookman Old Style"/>
          <w:bCs/>
          <w:sz w:val="24"/>
          <w:szCs w:val="24"/>
        </w:rPr>
        <w:t>That said, in my experience many attorneys and laypersons are not familiar with the nuances of the doctrine and how it has been applied by the IRS</w:t>
      </w:r>
      <w:r w:rsidR="0025163E">
        <w:rPr>
          <w:rFonts w:ascii="Bookman Old Style" w:hAnsi="Bookman Old Style"/>
          <w:bCs/>
          <w:sz w:val="24"/>
          <w:szCs w:val="24"/>
        </w:rPr>
        <w:t xml:space="preserve"> and the courts</w:t>
      </w:r>
      <w:r>
        <w:rPr>
          <w:rFonts w:ascii="Bookman Old Style" w:hAnsi="Bookman Old Style"/>
          <w:bCs/>
          <w:sz w:val="24"/>
          <w:szCs w:val="24"/>
        </w:rPr>
        <w:t xml:space="preserve">, and it is often referred to casually as an objection to activities and transactions that are perfectly acceptable. In other words, the </w:t>
      </w:r>
      <w:r w:rsidR="0025163E">
        <w:rPr>
          <w:rFonts w:ascii="Bookman Old Style" w:hAnsi="Bookman Old Style"/>
          <w:bCs/>
          <w:sz w:val="24"/>
          <w:szCs w:val="24"/>
        </w:rPr>
        <w:t xml:space="preserve">fear of violating </w:t>
      </w:r>
      <w:r>
        <w:rPr>
          <w:rFonts w:ascii="Bookman Old Style" w:hAnsi="Bookman Old Style"/>
          <w:bCs/>
          <w:sz w:val="24"/>
          <w:szCs w:val="24"/>
        </w:rPr>
        <w:t xml:space="preserve">the private benefit doctrine is often more </w:t>
      </w:r>
      <w:r w:rsidR="0025163E">
        <w:rPr>
          <w:rFonts w:ascii="Bookman Old Style" w:hAnsi="Bookman Old Style"/>
          <w:bCs/>
          <w:sz w:val="24"/>
          <w:szCs w:val="24"/>
        </w:rPr>
        <w:t xml:space="preserve">magnified than is warranted by how the </w:t>
      </w:r>
      <w:r>
        <w:rPr>
          <w:rFonts w:ascii="Bookman Old Style" w:hAnsi="Bookman Old Style"/>
          <w:bCs/>
          <w:sz w:val="24"/>
          <w:szCs w:val="24"/>
        </w:rPr>
        <w:t xml:space="preserve">courts and the </w:t>
      </w:r>
      <w:r w:rsidR="0025163E">
        <w:rPr>
          <w:rFonts w:ascii="Bookman Old Style" w:hAnsi="Bookman Old Style"/>
          <w:bCs/>
          <w:sz w:val="24"/>
          <w:szCs w:val="24"/>
        </w:rPr>
        <w:t xml:space="preserve">IRS have interpreted it. </w:t>
      </w:r>
      <w:r w:rsidR="00DC7F4F">
        <w:rPr>
          <w:rFonts w:ascii="Bookman Old Style" w:hAnsi="Bookman Old Style"/>
          <w:bCs/>
          <w:sz w:val="24"/>
          <w:szCs w:val="24"/>
        </w:rPr>
        <w:t xml:space="preserve">In </w:t>
      </w:r>
      <w:r w:rsidR="0022450C">
        <w:rPr>
          <w:rFonts w:ascii="Bookman Old Style" w:hAnsi="Bookman Old Style"/>
          <w:bCs/>
          <w:sz w:val="24"/>
          <w:szCs w:val="24"/>
        </w:rPr>
        <w:t xml:space="preserve">virtually every </w:t>
      </w:r>
      <w:r w:rsidR="00DC7F4F">
        <w:rPr>
          <w:rFonts w:ascii="Bookman Old Style" w:hAnsi="Bookman Old Style"/>
          <w:bCs/>
          <w:sz w:val="24"/>
          <w:szCs w:val="24"/>
        </w:rPr>
        <w:t xml:space="preserve">instance in which the courts or the IRS have found private benefit to exist, the scenarios involve </w:t>
      </w:r>
      <w:r w:rsidR="0022450C">
        <w:rPr>
          <w:rFonts w:ascii="Bookman Old Style" w:hAnsi="Bookman Old Style"/>
          <w:bCs/>
          <w:sz w:val="24"/>
          <w:szCs w:val="24"/>
        </w:rPr>
        <w:t>attempts to benefit partisan entities</w:t>
      </w:r>
      <w:r w:rsidR="00D55D90">
        <w:rPr>
          <w:rStyle w:val="FootnoteReference"/>
          <w:rFonts w:ascii="Bookman Old Style" w:hAnsi="Bookman Old Style"/>
          <w:bCs/>
          <w:sz w:val="24"/>
          <w:szCs w:val="24"/>
        </w:rPr>
        <w:footnoteReference w:id="5"/>
      </w:r>
      <w:r w:rsidR="0022450C">
        <w:rPr>
          <w:rFonts w:ascii="Bookman Old Style" w:hAnsi="Bookman Old Style"/>
          <w:bCs/>
          <w:sz w:val="24"/>
          <w:szCs w:val="24"/>
        </w:rPr>
        <w:t xml:space="preserve">, </w:t>
      </w:r>
      <w:r w:rsidR="002A1DCB">
        <w:rPr>
          <w:rFonts w:ascii="Bookman Old Style" w:hAnsi="Bookman Old Style"/>
          <w:bCs/>
          <w:sz w:val="24"/>
          <w:szCs w:val="24"/>
        </w:rPr>
        <w:t xml:space="preserve">businesses or </w:t>
      </w:r>
      <w:r w:rsidR="0022450C">
        <w:rPr>
          <w:rFonts w:ascii="Bookman Old Style" w:hAnsi="Bookman Old Style"/>
          <w:bCs/>
          <w:sz w:val="24"/>
          <w:szCs w:val="24"/>
        </w:rPr>
        <w:t>employees in a particular industry</w:t>
      </w:r>
      <w:r w:rsidR="00D55D90">
        <w:rPr>
          <w:rStyle w:val="FootnoteReference"/>
          <w:rFonts w:ascii="Bookman Old Style" w:hAnsi="Bookman Old Style"/>
          <w:bCs/>
          <w:sz w:val="24"/>
          <w:szCs w:val="24"/>
        </w:rPr>
        <w:footnoteReference w:id="6"/>
      </w:r>
      <w:r w:rsidR="0022450C">
        <w:rPr>
          <w:rFonts w:ascii="Bookman Old Style" w:hAnsi="Bookman Old Style"/>
          <w:bCs/>
          <w:sz w:val="24"/>
          <w:szCs w:val="24"/>
        </w:rPr>
        <w:t xml:space="preserve">, or a </w:t>
      </w:r>
      <w:r w:rsidR="00D55D90">
        <w:rPr>
          <w:rFonts w:ascii="Bookman Old Style" w:hAnsi="Bookman Old Style"/>
          <w:bCs/>
          <w:sz w:val="24"/>
          <w:szCs w:val="24"/>
        </w:rPr>
        <w:t>specific individual or family.</w:t>
      </w:r>
      <w:r w:rsidR="002A1DCB">
        <w:rPr>
          <w:rStyle w:val="FootnoteReference"/>
          <w:rFonts w:ascii="Bookman Old Style" w:hAnsi="Bookman Old Style"/>
          <w:bCs/>
          <w:sz w:val="24"/>
          <w:szCs w:val="24"/>
        </w:rPr>
        <w:footnoteReference w:id="7"/>
      </w:r>
      <w:r w:rsidR="00D55D90">
        <w:rPr>
          <w:rFonts w:ascii="Bookman Old Style" w:hAnsi="Bookman Old Style"/>
          <w:bCs/>
          <w:sz w:val="24"/>
          <w:szCs w:val="24"/>
        </w:rPr>
        <w:t xml:space="preserve"> In none of these cases has there been a </w:t>
      </w:r>
      <w:r w:rsidR="00C2724C">
        <w:rPr>
          <w:rFonts w:ascii="Bookman Old Style" w:hAnsi="Bookman Old Style"/>
          <w:bCs/>
          <w:sz w:val="24"/>
          <w:szCs w:val="24"/>
        </w:rPr>
        <w:t xml:space="preserve">significant </w:t>
      </w:r>
      <w:r w:rsidR="0022450C">
        <w:rPr>
          <w:rFonts w:ascii="Bookman Old Style" w:hAnsi="Bookman Old Style"/>
          <w:bCs/>
          <w:sz w:val="24"/>
          <w:szCs w:val="24"/>
        </w:rPr>
        <w:t>nexus to a traditional charitable purpose or activity</w:t>
      </w:r>
      <w:r w:rsidR="00DC7F4F">
        <w:rPr>
          <w:rFonts w:ascii="Bookman Old Style" w:hAnsi="Bookman Old Style"/>
          <w:bCs/>
          <w:sz w:val="24"/>
          <w:szCs w:val="24"/>
        </w:rPr>
        <w:t xml:space="preserve">. </w:t>
      </w:r>
      <w:r w:rsidR="0025163E">
        <w:rPr>
          <w:rFonts w:ascii="Bookman Old Style" w:hAnsi="Bookman Old Style"/>
          <w:bCs/>
          <w:sz w:val="24"/>
          <w:szCs w:val="24"/>
        </w:rPr>
        <w:t xml:space="preserve">To be sure, </w:t>
      </w:r>
      <w:proofErr w:type="spellStart"/>
      <w:r w:rsidR="0025163E">
        <w:rPr>
          <w:rFonts w:ascii="Bookman Old Style" w:hAnsi="Bookman Old Style"/>
          <w:bCs/>
          <w:sz w:val="24"/>
          <w:szCs w:val="24"/>
        </w:rPr>
        <w:t>t</w:t>
      </w:r>
      <w:r w:rsidR="0025163E">
        <w:rPr>
          <w:rFonts w:ascii="Bookman Old Style" w:hAnsi="Bookman Old Style"/>
          <w:bCs/>
          <w:sz w:val="24"/>
          <w:szCs w:val="24"/>
          <w:lang w:val="en-US"/>
        </w:rPr>
        <w:t>he</w:t>
      </w:r>
      <w:proofErr w:type="spellEnd"/>
      <w:r w:rsidR="0025163E">
        <w:rPr>
          <w:rFonts w:ascii="Bookman Old Style" w:hAnsi="Bookman Old Style"/>
          <w:bCs/>
          <w:sz w:val="24"/>
          <w:szCs w:val="24"/>
          <w:lang w:val="en-US"/>
        </w:rPr>
        <w:t xml:space="preserve"> private benefit doctrine is to be taken seriously, but it is often not the impediment that some fear it to be.</w:t>
      </w:r>
    </w:p>
    <w:p w14:paraId="162E52DE" w14:textId="0A2DBAA3" w:rsidR="008C3108" w:rsidRDefault="008C3108" w:rsidP="006E31FC">
      <w:pPr>
        <w:rPr>
          <w:rFonts w:ascii="Bookman Old Style" w:hAnsi="Bookman Old Style"/>
          <w:bCs/>
          <w:sz w:val="24"/>
          <w:szCs w:val="24"/>
          <w:lang w:val="en-US"/>
        </w:rPr>
      </w:pPr>
    </w:p>
    <w:p w14:paraId="06CA3401" w14:textId="5DBA5092" w:rsidR="0022450C" w:rsidRDefault="004577DA" w:rsidP="006E31FC">
      <w:pPr>
        <w:rPr>
          <w:rFonts w:ascii="Bookman Old Style" w:hAnsi="Bookman Old Style"/>
          <w:bCs/>
          <w:sz w:val="24"/>
          <w:szCs w:val="24"/>
          <w:lang w:val="en-US"/>
        </w:rPr>
      </w:pPr>
      <w:r>
        <w:rPr>
          <w:rFonts w:ascii="Bookman Old Style" w:hAnsi="Bookman Old Style"/>
          <w:bCs/>
          <w:sz w:val="24"/>
          <w:szCs w:val="24"/>
          <w:lang w:val="en-US"/>
        </w:rPr>
        <w:t>Along the same lines</w:t>
      </w:r>
      <w:r w:rsidR="008C3108">
        <w:rPr>
          <w:rFonts w:ascii="Bookman Old Style" w:hAnsi="Bookman Old Style"/>
          <w:bCs/>
          <w:sz w:val="24"/>
          <w:szCs w:val="24"/>
          <w:lang w:val="en-US"/>
        </w:rPr>
        <w:t xml:space="preserve">, it’s important to recognize that the private benefit doctrine applies </w:t>
      </w:r>
      <w:r w:rsidR="00C05BE8">
        <w:rPr>
          <w:rFonts w:ascii="Bookman Old Style" w:hAnsi="Bookman Old Style"/>
          <w:bCs/>
          <w:sz w:val="24"/>
          <w:szCs w:val="24"/>
          <w:lang w:val="en-US"/>
        </w:rPr>
        <w:t xml:space="preserve">only </w:t>
      </w:r>
      <w:r w:rsidR="008C3108">
        <w:rPr>
          <w:rFonts w:ascii="Bookman Old Style" w:hAnsi="Bookman Old Style"/>
          <w:bCs/>
          <w:sz w:val="24"/>
          <w:szCs w:val="24"/>
          <w:lang w:val="en-US"/>
        </w:rPr>
        <w:t>to transactions with individuals</w:t>
      </w:r>
      <w:r>
        <w:rPr>
          <w:rFonts w:ascii="Bookman Old Style" w:hAnsi="Bookman Old Style"/>
          <w:bCs/>
          <w:sz w:val="24"/>
          <w:szCs w:val="24"/>
          <w:lang w:val="en-US"/>
        </w:rPr>
        <w:t xml:space="preserve">, </w:t>
      </w:r>
      <w:r w:rsidR="008C3108">
        <w:rPr>
          <w:rFonts w:ascii="Bookman Old Style" w:hAnsi="Bookman Old Style"/>
          <w:bCs/>
          <w:sz w:val="24"/>
          <w:szCs w:val="24"/>
          <w:lang w:val="en-US"/>
        </w:rPr>
        <w:t>businesses</w:t>
      </w:r>
      <w:r>
        <w:rPr>
          <w:rFonts w:ascii="Bookman Old Style" w:hAnsi="Bookman Old Style"/>
          <w:bCs/>
          <w:sz w:val="24"/>
          <w:szCs w:val="24"/>
          <w:lang w:val="en-US"/>
        </w:rPr>
        <w:t>,</w:t>
      </w:r>
      <w:r w:rsidR="008C3108">
        <w:rPr>
          <w:rFonts w:ascii="Bookman Old Style" w:hAnsi="Bookman Old Style"/>
          <w:bCs/>
          <w:sz w:val="24"/>
          <w:szCs w:val="24"/>
          <w:lang w:val="en-US"/>
        </w:rPr>
        <w:t xml:space="preserve"> or </w:t>
      </w:r>
      <w:r w:rsidR="00C05BE8">
        <w:rPr>
          <w:rFonts w:ascii="Bookman Old Style" w:hAnsi="Bookman Old Style"/>
          <w:bCs/>
          <w:sz w:val="24"/>
          <w:szCs w:val="24"/>
          <w:lang w:val="en-US"/>
        </w:rPr>
        <w:t>other private entities (</w:t>
      </w:r>
      <w:proofErr w:type="gramStart"/>
      <w:r w:rsidR="00C05BE8">
        <w:rPr>
          <w:rFonts w:ascii="Bookman Old Style" w:hAnsi="Bookman Old Style"/>
          <w:bCs/>
          <w:sz w:val="24"/>
          <w:szCs w:val="24"/>
          <w:lang w:val="en-US"/>
        </w:rPr>
        <w:t>e.g.</w:t>
      </w:r>
      <w:proofErr w:type="gramEnd"/>
      <w:r w:rsidR="00C05BE8">
        <w:rPr>
          <w:rFonts w:ascii="Bookman Old Style" w:hAnsi="Bookman Old Style"/>
          <w:bCs/>
          <w:sz w:val="24"/>
          <w:szCs w:val="24"/>
          <w:lang w:val="en-US"/>
        </w:rPr>
        <w:t xml:space="preserve"> non-charitable trusts, LLCs, etc.). It never applies to transactions with other 501(c)(3) organizations or municipal, state, or federal governmental entities. Thus, if a land trust is engaged in a land back project with an Indigenous organization that is recognized as a 501(c)(3), there is no private benefit. </w:t>
      </w:r>
      <w:r w:rsidR="00D219FD">
        <w:rPr>
          <w:rFonts w:ascii="Bookman Old Style" w:hAnsi="Bookman Old Style"/>
          <w:bCs/>
          <w:sz w:val="24"/>
          <w:szCs w:val="24"/>
          <w:lang w:val="en-US"/>
        </w:rPr>
        <w:t>Moreover, Federally Recognized Trib</w:t>
      </w:r>
      <w:r w:rsidR="00215307">
        <w:rPr>
          <w:rFonts w:ascii="Bookman Old Style" w:hAnsi="Bookman Old Style"/>
          <w:bCs/>
          <w:sz w:val="24"/>
          <w:szCs w:val="24"/>
          <w:lang w:val="en-US"/>
        </w:rPr>
        <w:t>al governments</w:t>
      </w:r>
      <w:r w:rsidR="00D219FD">
        <w:rPr>
          <w:rFonts w:ascii="Bookman Old Style" w:hAnsi="Bookman Old Style"/>
          <w:bCs/>
          <w:sz w:val="24"/>
          <w:szCs w:val="24"/>
          <w:lang w:val="en-US"/>
        </w:rPr>
        <w:t xml:space="preserve"> are treated as </w:t>
      </w:r>
      <w:r w:rsidR="00215307">
        <w:rPr>
          <w:rFonts w:ascii="Bookman Old Style" w:hAnsi="Bookman Old Style"/>
          <w:bCs/>
          <w:sz w:val="24"/>
          <w:szCs w:val="24"/>
          <w:lang w:val="en-US"/>
        </w:rPr>
        <w:t xml:space="preserve">states for most federal tax purposes </w:t>
      </w:r>
      <w:r w:rsidR="00D219FD">
        <w:rPr>
          <w:rFonts w:ascii="Bookman Old Style" w:hAnsi="Bookman Old Style"/>
          <w:bCs/>
          <w:sz w:val="24"/>
          <w:szCs w:val="24"/>
          <w:lang w:val="en-US"/>
        </w:rPr>
        <w:t xml:space="preserve">under I.R.C. </w:t>
      </w:r>
      <w:r w:rsidR="00D219FD">
        <w:rPr>
          <w:rFonts w:ascii="Times New Roman" w:hAnsi="Times New Roman" w:cs="Times New Roman"/>
          <w:bCs/>
          <w:sz w:val="24"/>
          <w:szCs w:val="24"/>
          <w:lang w:val="en-US"/>
        </w:rPr>
        <w:t>§</w:t>
      </w:r>
      <w:r w:rsidR="00D219FD">
        <w:rPr>
          <w:rFonts w:ascii="Bookman Old Style" w:hAnsi="Bookman Old Style"/>
          <w:bCs/>
          <w:sz w:val="24"/>
          <w:szCs w:val="24"/>
          <w:lang w:val="en-US"/>
        </w:rPr>
        <w:t>7871</w:t>
      </w:r>
      <w:r w:rsidR="0005589A">
        <w:rPr>
          <w:rFonts w:ascii="Bookman Old Style" w:hAnsi="Bookman Old Style"/>
          <w:bCs/>
          <w:sz w:val="24"/>
          <w:szCs w:val="24"/>
          <w:lang w:val="en-US"/>
        </w:rPr>
        <w:t xml:space="preserve">, </w:t>
      </w:r>
      <w:r w:rsidR="00CA1560">
        <w:rPr>
          <w:rFonts w:ascii="Bookman Old Style" w:hAnsi="Bookman Old Style"/>
          <w:bCs/>
          <w:sz w:val="24"/>
          <w:szCs w:val="24"/>
          <w:lang w:val="en-US"/>
        </w:rPr>
        <w:t xml:space="preserve">including being </w:t>
      </w:r>
      <w:r w:rsidR="00CA1560">
        <w:rPr>
          <w:rFonts w:ascii="Bookman Old Style" w:hAnsi="Bookman Old Style"/>
          <w:bCs/>
          <w:sz w:val="24"/>
          <w:szCs w:val="24"/>
          <w:lang w:val="en-US"/>
        </w:rPr>
        <w:lastRenderedPageBreak/>
        <w:t>eligible to receive tax-deductible charitable donations.</w:t>
      </w:r>
      <w:r w:rsidR="00CA1560">
        <w:rPr>
          <w:rStyle w:val="FootnoteReference"/>
          <w:rFonts w:ascii="Bookman Old Style" w:hAnsi="Bookman Old Style"/>
          <w:bCs/>
          <w:sz w:val="24"/>
          <w:szCs w:val="24"/>
          <w:lang w:val="en-US"/>
        </w:rPr>
        <w:footnoteReference w:id="8"/>
      </w:r>
      <w:r w:rsidR="00CA1560">
        <w:rPr>
          <w:rFonts w:ascii="Bookman Old Style" w:hAnsi="Bookman Old Style"/>
          <w:bCs/>
          <w:sz w:val="24"/>
          <w:szCs w:val="24"/>
          <w:lang w:val="en-US"/>
        </w:rPr>
        <w:t xml:space="preserve"> A</w:t>
      </w:r>
      <w:r w:rsidR="0005589A">
        <w:rPr>
          <w:rFonts w:ascii="Bookman Old Style" w:hAnsi="Bookman Old Style"/>
          <w:bCs/>
          <w:sz w:val="24"/>
          <w:szCs w:val="24"/>
          <w:lang w:val="en-US"/>
        </w:rPr>
        <w:t>lthough not expressly stated</w:t>
      </w:r>
      <w:r w:rsidR="00CA1560">
        <w:rPr>
          <w:rFonts w:ascii="Bookman Old Style" w:hAnsi="Bookman Old Style"/>
          <w:bCs/>
          <w:sz w:val="24"/>
          <w:szCs w:val="24"/>
          <w:lang w:val="en-US"/>
        </w:rPr>
        <w:t xml:space="preserve"> in the statute,</w:t>
      </w:r>
      <w:r w:rsidR="00D30FD2">
        <w:rPr>
          <w:rFonts w:ascii="Bookman Old Style" w:hAnsi="Bookman Old Style"/>
          <w:bCs/>
          <w:sz w:val="24"/>
          <w:szCs w:val="24"/>
          <w:lang w:val="en-US"/>
        </w:rPr>
        <w:t xml:space="preserve"> it would be very surprising and counterintuitive if</w:t>
      </w:r>
      <w:r w:rsidR="0005589A">
        <w:rPr>
          <w:rFonts w:ascii="Bookman Old Style" w:hAnsi="Bookman Old Style"/>
          <w:bCs/>
          <w:sz w:val="24"/>
          <w:szCs w:val="24"/>
          <w:lang w:val="en-US"/>
        </w:rPr>
        <w:t xml:space="preserve"> this </w:t>
      </w:r>
      <w:r w:rsidR="00D30FD2">
        <w:rPr>
          <w:rFonts w:ascii="Bookman Old Style" w:hAnsi="Bookman Old Style"/>
          <w:bCs/>
          <w:sz w:val="24"/>
          <w:szCs w:val="24"/>
          <w:lang w:val="en-US"/>
        </w:rPr>
        <w:t>treatment did not extend to exemption from the private benefit doctrine</w:t>
      </w:r>
      <w:r w:rsidR="00D219FD">
        <w:rPr>
          <w:rFonts w:ascii="Bookman Old Style" w:hAnsi="Bookman Old Style"/>
          <w:bCs/>
          <w:sz w:val="24"/>
          <w:szCs w:val="24"/>
          <w:lang w:val="en-US"/>
        </w:rPr>
        <w:t>.</w:t>
      </w:r>
      <w:r w:rsidR="00215307">
        <w:rPr>
          <w:rFonts w:ascii="Bookman Old Style" w:hAnsi="Bookman Old Style"/>
          <w:bCs/>
          <w:sz w:val="24"/>
          <w:szCs w:val="24"/>
          <w:lang w:val="en-US"/>
        </w:rPr>
        <w:t xml:space="preserve"> </w:t>
      </w:r>
      <w:r w:rsidR="008512DB">
        <w:rPr>
          <w:rFonts w:ascii="Bookman Old Style" w:hAnsi="Bookman Old Style"/>
          <w:bCs/>
          <w:sz w:val="24"/>
          <w:szCs w:val="24"/>
          <w:lang w:val="en-US"/>
        </w:rPr>
        <w:t>Because a</w:t>
      </w:r>
      <w:r w:rsidR="00581B21">
        <w:rPr>
          <w:rFonts w:ascii="Bookman Old Style" w:hAnsi="Bookman Old Style"/>
          <w:bCs/>
          <w:sz w:val="24"/>
          <w:szCs w:val="24"/>
          <w:lang w:val="en-US"/>
        </w:rPr>
        <w:t>ll four of M</w:t>
      </w:r>
      <w:r w:rsidR="0005589A">
        <w:rPr>
          <w:rFonts w:ascii="Bookman Old Style" w:hAnsi="Bookman Old Style"/>
          <w:bCs/>
          <w:sz w:val="24"/>
          <w:szCs w:val="24"/>
          <w:lang w:val="en-US"/>
        </w:rPr>
        <w:t xml:space="preserve">aine’s Indigenous </w:t>
      </w:r>
      <w:r>
        <w:rPr>
          <w:rFonts w:ascii="Bookman Old Style" w:hAnsi="Bookman Old Style"/>
          <w:bCs/>
          <w:sz w:val="24"/>
          <w:szCs w:val="24"/>
          <w:lang w:val="en-US"/>
        </w:rPr>
        <w:t>T</w:t>
      </w:r>
      <w:r w:rsidR="0005589A">
        <w:rPr>
          <w:rFonts w:ascii="Bookman Old Style" w:hAnsi="Bookman Old Style"/>
          <w:bCs/>
          <w:sz w:val="24"/>
          <w:szCs w:val="24"/>
          <w:lang w:val="en-US"/>
        </w:rPr>
        <w:t>ribes</w:t>
      </w:r>
      <w:r w:rsidR="00581B21">
        <w:rPr>
          <w:rFonts w:ascii="Bookman Old Style" w:hAnsi="Bookman Old Style"/>
          <w:bCs/>
          <w:sz w:val="24"/>
          <w:szCs w:val="24"/>
          <w:lang w:val="en-US"/>
        </w:rPr>
        <w:t xml:space="preserve"> </w:t>
      </w:r>
      <w:r w:rsidR="0005589A">
        <w:rPr>
          <w:rFonts w:ascii="Bookman Old Style" w:hAnsi="Bookman Old Style"/>
          <w:bCs/>
          <w:sz w:val="24"/>
          <w:szCs w:val="24"/>
          <w:lang w:val="en-US"/>
        </w:rPr>
        <w:t>are federally recognized</w:t>
      </w:r>
      <w:r w:rsidR="008512DB">
        <w:rPr>
          <w:rFonts w:ascii="Bookman Old Style" w:hAnsi="Bookman Old Style"/>
          <w:bCs/>
          <w:sz w:val="24"/>
          <w:szCs w:val="24"/>
          <w:lang w:val="en-US"/>
        </w:rPr>
        <w:t xml:space="preserve">, any land back project </w:t>
      </w:r>
      <w:r w:rsidR="00CA1560">
        <w:rPr>
          <w:rFonts w:ascii="Bookman Old Style" w:hAnsi="Bookman Old Style"/>
          <w:bCs/>
          <w:sz w:val="24"/>
          <w:szCs w:val="24"/>
          <w:lang w:val="en-US"/>
        </w:rPr>
        <w:t xml:space="preserve">or other transaction </w:t>
      </w:r>
      <w:r w:rsidR="008512DB">
        <w:rPr>
          <w:rFonts w:ascii="Bookman Old Style" w:hAnsi="Bookman Old Style"/>
          <w:bCs/>
          <w:sz w:val="24"/>
          <w:szCs w:val="24"/>
          <w:lang w:val="en-US"/>
        </w:rPr>
        <w:t xml:space="preserve">with the </w:t>
      </w:r>
      <w:r>
        <w:rPr>
          <w:rFonts w:ascii="Bookman Old Style" w:hAnsi="Bookman Old Style"/>
          <w:bCs/>
          <w:sz w:val="24"/>
          <w:szCs w:val="24"/>
          <w:lang w:val="en-US"/>
        </w:rPr>
        <w:t>T</w:t>
      </w:r>
      <w:r w:rsidR="008512DB">
        <w:rPr>
          <w:rFonts w:ascii="Bookman Old Style" w:hAnsi="Bookman Old Style"/>
          <w:bCs/>
          <w:sz w:val="24"/>
          <w:szCs w:val="24"/>
          <w:lang w:val="en-US"/>
        </w:rPr>
        <w:t xml:space="preserve">ribes cannot give rise to private benefit. </w:t>
      </w:r>
    </w:p>
    <w:p w14:paraId="40431222" w14:textId="77777777" w:rsidR="0022450C" w:rsidRDefault="0022450C" w:rsidP="006E31FC">
      <w:pPr>
        <w:rPr>
          <w:rFonts w:ascii="Bookman Old Style" w:hAnsi="Bookman Old Style"/>
          <w:bCs/>
          <w:sz w:val="24"/>
          <w:szCs w:val="24"/>
          <w:lang w:val="en-US"/>
        </w:rPr>
      </w:pPr>
    </w:p>
    <w:p w14:paraId="47387518" w14:textId="132DB386" w:rsidR="00D219FD" w:rsidRPr="00D219FD" w:rsidRDefault="00C2724C" w:rsidP="006E31FC">
      <w:pPr>
        <w:rPr>
          <w:rFonts w:ascii="Bookman Old Style" w:hAnsi="Bookman Old Style"/>
          <w:bCs/>
          <w:sz w:val="24"/>
          <w:szCs w:val="24"/>
        </w:rPr>
      </w:pPr>
      <w:r>
        <w:rPr>
          <w:rFonts w:ascii="Bookman Old Style" w:hAnsi="Bookman Old Style"/>
          <w:bCs/>
          <w:sz w:val="24"/>
          <w:szCs w:val="24"/>
          <w:lang w:val="en-US"/>
        </w:rPr>
        <w:t>In addition</w:t>
      </w:r>
      <w:r w:rsidR="008512DB">
        <w:rPr>
          <w:rFonts w:ascii="Bookman Old Style" w:hAnsi="Bookman Old Style"/>
          <w:bCs/>
          <w:sz w:val="24"/>
          <w:szCs w:val="24"/>
          <w:lang w:val="en-US"/>
        </w:rPr>
        <w:t>, e</w:t>
      </w:r>
      <w:r w:rsidR="00215307">
        <w:rPr>
          <w:rFonts w:ascii="Bookman Old Style" w:hAnsi="Bookman Old Style"/>
          <w:bCs/>
          <w:sz w:val="24"/>
          <w:szCs w:val="24"/>
          <w:lang w:val="en-US"/>
        </w:rPr>
        <w:t xml:space="preserve">ven non-recognized Indigenous </w:t>
      </w:r>
      <w:r w:rsidR="004577DA">
        <w:rPr>
          <w:rFonts w:ascii="Bookman Old Style" w:hAnsi="Bookman Old Style"/>
          <w:bCs/>
          <w:sz w:val="24"/>
          <w:szCs w:val="24"/>
          <w:lang w:val="en-US"/>
        </w:rPr>
        <w:t>T</w:t>
      </w:r>
      <w:r w:rsidR="00215307">
        <w:rPr>
          <w:rFonts w:ascii="Bookman Old Style" w:hAnsi="Bookman Old Style"/>
          <w:bCs/>
          <w:sz w:val="24"/>
          <w:szCs w:val="24"/>
          <w:lang w:val="en-US"/>
        </w:rPr>
        <w:t>ribes</w:t>
      </w:r>
      <w:r w:rsidR="008512DB">
        <w:rPr>
          <w:rFonts w:ascii="Bookman Old Style" w:hAnsi="Bookman Old Style"/>
          <w:bCs/>
          <w:sz w:val="24"/>
          <w:szCs w:val="24"/>
          <w:lang w:val="en-US"/>
        </w:rPr>
        <w:t xml:space="preserve"> or </w:t>
      </w:r>
      <w:r w:rsidR="00CA1560">
        <w:rPr>
          <w:rFonts w:ascii="Bookman Old Style" w:hAnsi="Bookman Old Style"/>
          <w:bCs/>
          <w:sz w:val="24"/>
          <w:szCs w:val="24"/>
          <w:lang w:val="en-US"/>
        </w:rPr>
        <w:t xml:space="preserve">other </w:t>
      </w:r>
      <w:r w:rsidR="004577DA">
        <w:rPr>
          <w:rFonts w:ascii="Bookman Old Style" w:hAnsi="Bookman Old Style"/>
          <w:bCs/>
          <w:sz w:val="24"/>
          <w:szCs w:val="24"/>
          <w:lang w:val="en-US"/>
        </w:rPr>
        <w:t>T</w:t>
      </w:r>
      <w:r w:rsidR="008512DB">
        <w:rPr>
          <w:rFonts w:ascii="Bookman Old Style" w:hAnsi="Bookman Old Style"/>
          <w:bCs/>
          <w:sz w:val="24"/>
          <w:szCs w:val="24"/>
          <w:lang w:val="en-US"/>
        </w:rPr>
        <w:t>ribal entities</w:t>
      </w:r>
      <w:r w:rsidR="00215307">
        <w:rPr>
          <w:rFonts w:ascii="Bookman Old Style" w:hAnsi="Bookman Old Style"/>
          <w:bCs/>
          <w:sz w:val="24"/>
          <w:szCs w:val="24"/>
          <w:lang w:val="en-US"/>
        </w:rPr>
        <w:t xml:space="preserve"> </w:t>
      </w:r>
      <w:r w:rsidR="0005589A">
        <w:rPr>
          <w:rFonts w:ascii="Bookman Old Style" w:hAnsi="Bookman Old Style"/>
          <w:bCs/>
          <w:sz w:val="24"/>
          <w:szCs w:val="24"/>
          <w:lang w:val="en-US"/>
        </w:rPr>
        <w:t xml:space="preserve">should not be subject to the private benefit doctrine </w:t>
      </w:r>
      <w:r w:rsidR="00581B21">
        <w:rPr>
          <w:rFonts w:ascii="Bookman Old Style" w:hAnsi="Bookman Old Style"/>
          <w:bCs/>
          <w:sz w:val="24"/>
          <w:szCs w:val="24"/>
          <w:lang w:val="en-US"/>
        </w:rPr>
        <w:t xml:space="preserve">so long as </w:t>
      </w:r>
      <w:r w:rsidR="0005589A">
        <w:rPr>
          <w:rFonts w:ascii="Bookman Old Style" w:hAnsi="Bookman Old Style"/>
          <w:bCs/>
          <w:sz w:val="24"/>
          <w:szCs w:val="24"/>
          <w:lang w:val="en-US"/>
        </w:rPr>
        <w:t xml:space="preserve">their members are numerous enough to constitute a “charitable class” under </w:t>
      </w:r>
      <w:r w:rsidR="008512DB">
        <w:rPr>
          <w:rFonts w:ascii="Bookman Old Style" w:hAnsi="Bookman Old Style"/>
          <w:bCs/>
          <w:sz w:val="24"/>
          <w:szCs w:val="24"/>
          <w:lang w:val="en-US"/>
        </w:rPr>
        <w:t xml:space="preserve">a </w:t>
      </w:r>
      <w:r w:rsidR="0005589A">
        <w:rPr>
          <w:rFonts w:ascii="Bookman Old Style" w:hAnsi="Bookman Old Style"/>
          <w:bCs/>
          <w:sz w:val="24"/>
          <w:szCs w:val="24"/>
          <w:lang w:val="en-US"/>
        </w:rPr>
        <w:t>longstanding IRS framework for determining whether a particular activity benefits the public at large.</w:t>
      </w:r>
      <w:r w:rsidR="00E91B5E">
        <w:rPr>
          <w:rStyle w:val="FootnoteReference"/>
          <w:rFonts w:ascii="Bookman Old Style" w:hAnsi="Bookman Old Style"/>
          <w:bCs/>
          <w:sz w:val="24"/>
          <w:szCs w:val="24"/>
          <w:lang w:val="en-US"/>
        </w:rPr>
        <w:footnoteReference w:id="9"/>
      </w:r>
      <w:r w:rsidR="0022450C">
        <w:rPr>
          <w:rFonts w:ascii="Bookman Old Style" w:hAnsi="Bookman Old Style"/>
          <w:bCs/>
          <w:sz w:val="24"/>
          <w:szCs w:val="24"/>
          <w:lang w:val="en-US"/>
        </w:rPr>
        <w:t xml:space="preserve"> Thus, allowing members of a </w:t>
      </w:r>
      <w:r w:rsidR="004577DA">
        <w:rPr>
          <w:rFonts w:ascii="Bookman Old Style" w:hAnsi="Bookman Old Style"/>
          <w:bCs/>
          <w:sz w:val="24"/>
          <w:szCs w:val="24"/>
          <w:lang w:val="en-US"/>
        </w:rPr>
        <w:t>T</w:t>
      </w:r>
      <w:r w:rsidR="0022450C">
        <w:rPr>
          <w:rFonts w:ascii="Bookman Old Style" w:hAnsi="Bookman Old Style"/>
          <w:bCs/>
          <w:sz w:val="24"/>
          <w:szCs w:val="24"/>
          <w:lang w:val="en-US"/>
        </w:rPr>
        <w:t>ribe to sustainably harvest sweetgrass or other plants from a land trust property would not give rise to private benefit. The same is true for allowing schoolteachers to access a preserve for educational purposes or for clammers to access a property for commercial harvest. These are simply not private benefit scenarios</w:t>
      </w:r>
      <w:r>
        <w:rPr>
          <w:rFonts w:ascii="Bookman Old Style" w:hAnsi="Bookman Old Style"/>
          <w:bCs/>
          <w:sz w:val="24"/>
          <w:szCs w:val="24"/>
          <w:lang w:val="en-US"/>
        </w:rPr>
        <w:t xml:space="preserve"> in any reasonable understanding of the term as interpreted by the courts and the IRS.</w:t>
      </w:r>
    </w:p>
    <w:p w14:paraId="44A89309" w14:textId="77777777" w:rsidR="00D219FD" w:rsidRDefault="00D219FD" w:rsidP="006E31FC">
      <w:pPr>
        <w:rPr>
          <w:rFonts w:ascii="Bookman Old Style" w:hAnsi="Bookman Old Style"/>
          <w:bCs/>
          <w:sz w:val="24"/>
          <w:szCs w:val="24"/>
          <w:lang w:val="en-US"/>
        </w:rPr>
      </w:pPr>
    </w:p>
    <w:p w14:paraId="7BC55D98" w14:textId="4B640BC9" w:rsidR="00B62D81" w:rsidRPr="00B62D81" w:rsidRDefault="008C3108" w:rsidP="00B62D81">
      <w:pPr>
        <w:rPr>
          <w:rFonts w:ascii="Bookman Old Style" w:hAnsi="Bookman Old Style"/>
          <w:bCs/>
          <w:sz w:val="24"/>
          <w:szCs w:val="24"/>
          <w:lang w:val="en-US"/>
        </w:rPr>
      </w:pPr>
      <w:r>
        <w:rPr>
          <w:rFonts w:ascii="Bookman Old Style" w:hAnsi="Bookman Old Style"/>
          <w:bCs/>
          <w:sz w:val="24"/>
          <w:szCs w:val="24"/>
          <w:lang w:val="en-US"/>
        </w:rPr>
        <w:t>Another</w:t>
      </w:r>
      <w:r w:rsidR="00424A74">
        <w:rPr>
          <w:rFonts w:ascii="Bookman Old Style" w:hAnsi="Bookman Old Style"/>
          <w:bCs/>
          <w:sz w:val="24"/>
          <w:szCs w:val="24"/>
          <w:lang w:val="en-US"/>
        </w:rPr>
        <w:t xml:space="preserve"> important limitation to the doctrine is that for any private benefit to be impermissible, it must be more than </w:t>
      </w:r>
      <w:r w:rsidR="00B62D81" w:rsidRPr="00B62D81">
        <w:rPr>
          <w:rFonts w:ascii="Bookman Old Style" w:hAnsi="Bookman Old Style"/>
          <w:bCs/>
          <w:i/>
          <w:sz w:val="24"/>
          <w:szCs w:val="24"/>
          <w:lang w:val="en-US"/>
        </w:rPr>
        <w:t>incidental</w:t>
      </w:r>
      <w:r w:rsidR="00B62D81" w:rsidRPr="00B62D81">
        <w:rPr>
          <w:rFonts w:ascii="Bookman Old Style" w:hAnsi="Bookman Old Style"/>
          <w:bCs/>
          <w:sz w:val="24"/>
          <w:szCs w:val="24"/>
          <w:lang w:val="en-US"/>
        </w:rPr>
        <w:t xml:space="preserve">. An </w:t>
      </w:r>
      <w:r w:rsidR="00B62D81" w:rsidRPr="00B62D81">
        <w:rPr>
          <w:rFonts w:ascii="Bookman Old Style" w:hAnsi="Bookman Old Style"/>
          <w:bCs/>
          <w:i/>
          <w:sz w:val="24"/>
          <w:szCs w:val="24"/>
          <w:lang w:val="en-US"/>
        </w:rPr>
        <w:t>incidental</w:t>
      </w:r>
      <w:r w:rsidR="00B62D81" w:rsidRPr="00B62D81">
        <w:rPr>
          <w:rFonts w:ascii="Bookman Old Style" w:hAnsi="Bookman Old Style"/>
          <w:bCs/>
          <w:sz w:val="24"/>
          <w:szCs w:val="24"/>
          <w:lang w:val="en-US"/>
        </w:rPr>
        <w:t xml:space="preserve"> private benefit must be incidental to the public benefit in both a qualitative and quantitative sense. A </w:t>
      </w:r>
      <w:r w:rsidR="00B62D81" w:rsidRPr="00B62D81">
        <w:rPr>
          <w:rFonts w:ascii="Bookman Old Style" w:hAnsi="Bookman Old Style"/>
          <w:bCs/>
          <w:i/>
          <w:sz w:val="24"/>
          <w:szCs w:val="24"/>
          <w:lang w:val="en-US"/>
        </w:rPr>
        <w:t>qualitatively incidental</w:t>
      </w:r>
      <w:r w:rsidR="00B62D81" w:rsidRPr="00B62D81">
        <w:rPr>
          <w:rFonts w:ascii="Bookman Old Style" w:hAnsi="Bookman Old Style"/>
          <w:bCs/>
          <w:sz w:val="24"/>
          <w:szCs w:val="24"/>
          <w:lang w:val="en-US"/>
        </w:rPr>
        <w:t xml:space="preserve"> private benefit occurs as a necessary concomitant of the activity that benefits the public at large; in other words, the benefit to the </w:t>
      </w:r>
      <w:r w:rsidR="00B62D81">
        <w:rPr>
          <w:rFonts w:ascii="Bookman Old Style" w:hAnsi="Bookman Old Style"/>
          <w:bCs/>
          <w:sz w:val="24"/>
          <w:szCs w:val="24"/>
          <w:lang w:val="en-US"/>
        </w:rPr>
        <w:t xml:space="preserve">insider </w:t>
      </w:r>
      <w:r w:rsidR="00B62D81" w:rsidRPr="00B62D81">
        <w:rPr>
          <w:rFonts w:ascii="Bookman Old Style" w:hAnsi="Bookman Old Style"/>
          <w:bCs/>
          <w:sz w:val="24"/>
          <w:szCs w:val="24"/>
          <w:lang w:val="en-US"/>
        </w:rPr>
        <w:t>is insubstantial when viewed in relation to the public benefit conferred by the activity.</w:t>
      </w:r>
      <w:r w:rsidR="00E03D0C">
        <w:rPr>
          <w:rFonts w:ascii="Bookman Old Style" w:hAnsi="Bookman Old Style"/>
          <w:bCs/>
          <w:sz w:val="24"/>
          <w:szCs w:val="24"/>
          <w:lang w:val="en-US"/>
        </w:rPr>
        <w:t xml:space="preserve"> As stated in response to the first question, supporting an Indigenous government or nonprofit is a valid charitable activity in the first place. Thus, the public benefit</w:t>
      </w:r>
      <w:r w:rsidR="00B62D81" w:rsidRPr="00B62D81">
        <w:rPr>
          <w:rFonts w:ascii="Bookman Old Style" w:hAnsi="Bookman Old Style"/>
          <w:bCs/>
          <w:sz w:val="24"/>
          <w:szCs w:val="24"/>
          <w:lang w:val="en-US"/>
        </w:rPr>
        <w:t xml:space="preserve"> </w:t>
      </w:r>
      <w:r w:rsidR="00E03D0C">
        <w:rPr>
          <w:rFonts w:ascii="Bookman Old Style" w:hAnsi="Bookman Old Style"/>
          <w:bCs/>
          <w:sz w:val="24"/>
          <w:szCs w:val="24"/>
          <w:lang w:val="en-US"/>
        </w:rPr>
        <w:t xml:space="preserve">inherent in a typical land back project would outweigh and render incidental any possible private benefit. It is only where a land trust would be conveying land or special access to a specific </w:t>
      </w:r>
      <w:r w:rsidR="00E03D0C">
        <w:rPr>
          <w:rFonts w:ascii="Bookman Old Style" w:hAnsi="Bookman Old Style"/>
          <w:bCs/>
          <w:sz w:val="24"/>
          <w:szCs w:val="24"/>
          <w:lang w:val="en-US"/>
        </w:rPr>
        <w:lastRenderedPageBreak/>
        <w:t xml:space="preserve">individual or family that the private benefit might be viewed as outweighing the public benefit. </w:t>
      </w:r>
    </w:p>
    <w:p w14:paraId="51CE363F" w14:textId="77777777" w:rsidR="006E31FC" w:rsidRPr="00680CD6" w:rsidRDefault="006E31FC" w:rsidP="006E31FC">
      <w:pPr>
        <w:ind w:left="1080"/>
        <w:rPr>
          <w:rFonts w:ascii="Bookman Old Style" w:hAnsi="Bookman Old Style"/>
          <w:sz w:val="24"/>
          <w:szCs w:val="24"/>
        </w:rPr>
      </w:pPr>
    </w:p>
    <w:p w14:paraId="00000009" w14:textId="58C7E6B7" w:rsidR="008B0757" w:rsidRPr="009E6B99" w:rsidRDefault="00F64CAC" w:rsidP="00F87463">
      <w:pPr>
        <w:numPr>
          <w:ilvl w:val="0"/>
          <w:numId w:val="1"/>
        </w:numPr>
        <w:ind w:left="360"/>
        <w:rPr>
          <w:rFonts w:ascii="Bookman Old Style" w:hAnsi="Bookman Old Style"/>
          <w:b/>
          <w:sz w:val="24"/>
          <w:szCs w:val="24"/>
        </w:rPr>
      </w:pPr>
      <w:r w:rsidRPr="00680CD6">
        <w:rPr>
          <w:rFonts w:ascii="Bookman Old Style" w:hAnsi="Bookman Old Style"/>
          <w:b/>
          <w:sz w:val="24"/>
          <w:szCs w:val="24"/>
        </w:rPr>
        <w:t xml:space="preserve">Perceived Barrier: </w:t>
      </w:r>
      <w:r w:rsidRPr="00680CD6">
        <w:rPr>
          <w:rFonts w:ascii="Bookman Old Style" w:hAnsi="Bookman Old Style"/>
          <w:sz w:val="24"/>
          <w:szCs w:val="24"/>
        </w:rPr>
        <w:t xml:space="preserve">As a specific example of the private inurement barrier: land trusts deny boat trips to Indigenous families seeking to visit ancestral islands </w:t>
      </w:r>
      <w:proofErr w:type="gramStart"/>
      <w:r w:rsidRPr="00680CD6">
        <w:rPr>
          <w:rFonts w:ascii="Bookman Old Style" w:hAnsi="Bookman Old Style"/>
          <w:sz w:val="24"/>
          <w:szCs w:val="24"/>
        </w:rPr>
        <w:t>on the basis of</w:t>
      </w:r>
      <w:proofErr w:type="gramEnd"/>
      <w:r w:rsidRPr="00680CD6">
        <w:rPr>
          <w:rFonts w:ascii="Bookman Old Style" w:hAnsi="Bookman Old Style"/>
          <w:sz w:val="24"/>
          <w:szCs w:val="24"/>
        </w:rPr>
        <w:t xml:space="preserve"> private </w:t>
      </w:r>
      <w:r w:rsidR="008512DB">
        <w:rPr>
          <w:rFonts w:ascii="Bookman Old Style" w:hAnsi="Bookman Old Style"/>
          <w:sz w:val="24"/>
          <w:szCs w:val="24"/>
        </w:rPr>
        <w:t>benefit</w:t>
      </w:r>
      <w:r w:rsidRPr="00680CD6">
        <w:rPr>
          <w:rFonts w:ascii="Bookman Old Style" w:hAnsi="Bookman Old Style"/>
          <w:sz w:val="24"/>
          <w:szCs w:val="24"/>
        </w:rPr>
        <w:t>.</w:t>
      </w:r>
    </w:p>
    <w:p w14:paraId="07EAE8DB" w14:textId="77777777" w:rsidR="009E6B99" w:rsidRPr="00680CD6" w:rsidRDefault="009E6B99" w:rsidP="009E6B99">
      <w:pPr>
        <w:ind w:left="360"/>
        <w:rPr>
          <w:rFonts w:ascii="Bookman Old Style" w:hAnsi="Bookman Old Style"/>
          <w:b/>
          <w:sz w:val="24"/>
          <w:szCs w:val="24"/>
        </w:rPr>
      </w:pPr>
    </w:p>
    <w:p w14:paraId="0000000A" w14:textId="65E62F31" w:rsidR="008B0757" w:rsidRPr="00DC7F4F" w:rsidRDefault="00F64CAC" w:rsidP="009E6B99">
      <w:pPr>
        <w:ind w:left="720"/>
        <w:rPr>
          <w:rFonts w:ascii="Bookman Old Style" w:hAnsi="Bookman Old Style"/>
          <w:b/>
          <w:sz w:val="24"/>
          <w:szCs w:val="24"/>
        </w:rPr>
      </w:pPr>
      <w:r w:rsidRPr="00680CD6">
        <w:rPr>
          <w:rFonts w:ascii="Bookman Old Style" w:hAnsi="Bookman Old Style"/>
          <w:b/>
          <w:sz w:val="24"/>
          <w:szCs w:val="24"/>
        </w:rPr>
        <w:t xml:space="preserve">Question: </w:t>
      </w:r>
      <w:r w:rsidRPr="00680CD6">
        <w:rPr>
          <w:rFonts w:ascii="Bookman Old Style" w:hAnsi="Bookman Old Style"/>
          <w:sz w:val="24"/>
          <w:szCs w:val="24"/>
        </w:rPr>
        <w:t>Is there any legal barrier to a land trust giving a boat ride to a W</w:t>
      </w:r>
      <w:r w:rsidRPr="008512DB">
        <w:rPr>
          <w:rFonts w:ascii="Bookman Old Style" w:hAnsi="Bookman Old Style"/>
          <w:sz w:val="24"/>
          <w:szCs w:val="24"/>
        </w:rPr>
        <w:t>abanaki family to visit an island?</w:t>
      </w:r>
    </w:p>
    <w:p w14:paraId="28D45821" w14:textId="77777777" w:rsidR="008041D2" w:rsidRDefault="008041D2" w:rsidP="00DC7F4F">
      <w:pPr>
        <w:rPr>
          <w:rFonts w:ascii="Bookman Old Style" w:hAnsi="Bookman Old Style"/>
          <w:bCs/>
          <w:sz w:val="24"/>
          <w:szCs w:val="24"/>
        </w:rPr>
      </w:pPr>
    </w:p>
    <w:p w14:paraId="4AAD5C04" w14:textId="5F9029B3" w:rsidR="00DC7F4F" w:rsidRPr="008041D2" w:rsidRDefault="00BA7E1D" w:rsidP="00DC7F4F">
      <w:pPr>
        <w:rPr>
          <w:rFonts w:ascii="Bookman Old Style" w:hAnsi="Bookman Old Style"/>
          <w:bCs/>
          <w:sz w:val="24"/>
          <w:szCs w:val="24"/>
        </w:rPr>
      </w:pPr>
      <w:r w:rsidRPr="00BA7E1D">
        <w:rPr>
          <w:rFonts w:ascii="Bookman Old Style" w:hAnsi="Bookman Old Style"/>
          <w:b/>
          <w:sz w:val="24"/>
          <w:szCs w:val="24"/>
        </w:rPr>
        <w:t>Rob Levin Reply:</w:t>
      </w:r>
      <w:r>
        <w:rPr>
          <w:rFonts w:ascii="Bookman Old Style" w:hAnsi="Bookman Old Style"/>
          <w:bCs/>
          <w:sz w:val="24"/>
          <w:szCs w:val="24"/>
        </w:rPr>
        <w:t xml:space="preserve"> </w:t>
      </w:r>
      <w:r w:rsidR="00DC7F4F">
        <w:rPr>
          <w:rFonts w:ascii="Bookman Old Style" w:hAnsi="Bookman Old Style"/>
          <w:bCs/>
          <w:sz w:val="24"/>
          <w:szCs w:val="24"/>
        </w:rPr>
        <w:t xml:space="preserve">Scope and scale </w:t>
      </w:r>
      <w:r w:rsidR="003041EE">
        <w:rPr>
          <w:rFonts w:ascii="Bookman Old Style" w:hAnsi="Bookman Old Style"/>
          <w:bCs/>
          <w:sz w:val="24"/>
          <w:szCs w:val="24"/>
        </w:rPr>
        <w:t>are important</w:t>
      </w:r>
      <w:r w:rsidR="00DC7F4F">
        <w:rPr>
          <w:rFonts w:ascii="Bookman Old Style" w:hAnsi="Bookman Old Style"/>
          <w:bCs/>
          <w:sz w:val="24"/>
          <w:szCs w:val="24"/>
        </w:rPr>
        <w:t xml:space="preserve"> when determining whether an activity constitutes impermissible private benefit. </w:t>
      </w:r>
      <w:r w:rsidR="008041D2">
        <w:rPr>
          <w:rFonts w:ascii="Bookman Old Style" w:hAnsi="Bookman Old Style"/>
          <w:bCs/>
          <w:sz w:val="24"/>
          <w:szCs w:val="24"/>
        </w:rPr>
        <w:t xml:space="preserve">If a land trust were to undertake a major program entailing substantial expenditures of time and funds to regularly ferry </w:t>
      </w:r>
      <w:r w:rsidR="003B6877">
        <w:rPr>
          <w:rFonts w:ascii="Bookman Old Style" w:hAnsi="Bookman Old Style"/>
          <w:bCs/>
          <w:sz w:val="24"/>
          <w:szCs w:val="24"/>
        </w:rPr>
        <w:t xml:space="preserve">an </w:t>
      </w:r>
      <w:r w:rsidR="008041D2">
        <w:rPr>
          <w:rFonts w:ascii="Bookman Old Style" w:hAnsi="Bookman Old Style"/>
          <w:bCs/>
          <w:sz w:val="24"/>
          <w:szCs w:val="24"/>
        </w:rPr>
        <w:t xml:space="preserve">Indigenous family to </w:t>
      </w:r>
      <w:proofErr w:type="gramStart"/>
      <w:r w:rsidR="008041D2">
        <w:rPr>
          <w:rFonts w:ascii="Bookman Old Style" w:hAnsi="Bookman Old Style"/>
          <w:bCs/>
          <w:sz w:val="24"/>
          <w:szCs w:val="24"/>
        </w:rPr>
        <w:t>particular sites</w:t>
      </w:r>
      <w:proofErr w:type="gramEnd"/>
      <w:r w:rsidR="008041D2">
        <w:rPr>
          <w:rFonts w:ascii="Bookman Old Style" w:hAnsi="Bookman Old Style"/>
          <w:bCs/>
          <w:sz w:val="24"/>
          <w:szCs w:val="24"/>
        </w:rPr>
        <w:t xml:space="preserve">, that could rise to the level of private benefit. But if a land trust, as part of an effort to build </w:t>
      </w:r>
      <w:r w:rsidR="009E6B99">
        <w:rPr>
          <w:rFonts w:ascii="Bookman Old Style" w:hAnsi="Bookman Old Style"/>
          <w:bCs/>
          <w:sz w:val="24"/>
          <w:szCs w:val="24"/>
        </w:rPr>
        <w:t>connection</w:t>
      </w:r>
      <w:r w:rsidR="008041D2">
        <w:rPr>
          <w:rFonts w:ascii="Bookman Old Style" w:hAnsi="Bookman Old Style"/>
          <w:bCs/>
          <w:sz w:val="24"/>
          <w:szCs w:val="24"/>
        </w:rPr>
        <w:t>s to the Indigenous community</w:t>
      </w:r>
      <w:r w:rsidR="009E6B99">
        <w:rPr>
          <w:rFonts w:ascii="Bookman Old Style" w:hAnsi="Bookman Old Style"/>
          <w:bCs/>
          <w:sz w:val="24"/>
          <w:szCs w:val="24"/>
        </w:rPr>
        <w:t>,</w:t>
      </w:r>
      <w:r w:rsidR="008041D2">
        <w:rPr>
          <w:rFonts w:ascii="Bookman Old Style" w:hAnsi="Bookman Old Style"/>
          <w:bCs/>
          <w:sz w:val="24"/>
          <w:szCs w:val="24"/>
        </w:rPr>
        <w:t xml:space="preserve"> and to support Indigenous people having access to culturally important lands, provides the occasional ride to an individual or family, that would be</w:t>
      </w:r>
      <w:r w:rsidR="002A018D">
        <w:rPr>
          <w:rFonts w:ascii="Bookman Old Style" w:hAnsi="Bookman Old Style"/>
          <w:bCs/>
          <w:sz w:val="24"/>
          <w:szCs w:val="24"/>
        </w:rPr>
        <w:t xml:space="preserve"> quantitatively incidental</w:t>
      </w:r>
      <w:r w:rsidR="008041D2">
        <w:rPr>
          <w:rFonts w:ascii="Bookman Old Style" w:hAnsi="Bookman Old Style"/>
          <w:bCs/>
          <w:sz w:val="24"/>
          <w:szCs w:val="24"/>
        </w:rPr>
        <w:t xml:space="preserve"> </w:t>
      </w:r>
      <w:r w:rsidR="002A018D">
        <w:rPr>
          <w:rFonts w:ascii="Bookman Old Style" w:hAnsi="Bookman Old Style"/>
          <w:bCs/>
          <w:sz w:val="24"/>
          <w:szCs w:val="24"/>
        </w:rPr>
        <w:t>(</w:t>
      </w:r>
      <w:r w:rsidR="008041D2">
        <w:rPr>
          <w:rFonts w:ascii="Bookman Old Style" w:hAnsi="Bookman Old Style"/>
          <w:bCs/>
          <w:i/>
          <w:iCs/>
          <w:sz w:val="24"/>
          <w:szCs w:val="24"/>
        </w:rPr>
        <w:t>de minimis</w:t>
      </w:r>
      <w:r w:rsidR="002A018D">
        <w:rPr>
          <w:rFonts w:ascii="Bookman Old Style" w:hAnsi="Bookman Old Style"/>
          <w:bCs/>
          <w:sz w:val="24"/>
          <w:szCs w:val="24"/>
        </w:rPr>
        <w:t>)</w:t>
      </w:r>
      <w:r w:rsidR="008041D2">
        <w:rPr>
          <w:rFonts w:ascii="Bookman Old Style" w:hAnsi="Bookman Old Style"/>
          <w:bCs/>
          <w:sz w:val="24"/>
          <w:szCs w:val="24"/>
        </w:rPr>
        <w:t xml:space="preserve"> and would </w:t>
      </w:r>
      <w:r w:rsidR="009E6B99">
        <w:rPr>
          <w:rFonts w:ascii="Bookman Old Style" w:hAnsi="Bookman Old Style"/>
          <w:bCs/>
          <w:sz w:val="24"/>
          <w:szCs w:val="24"/>
        </w:rPr>
        <w:t xml:space="preserve">not </w:t>
      </w:r>
      <w:r w:rsidR="008041D2">
        <w:rPr>
          <w:rFonts w:ascii="Bookman Old Style" w:hAnsi="Bookman Old Style"/>
          <w:bCs/>
          <w:sz w:val="24"/>
          <w:szCs w:val="24"/>
        </w:rPr>
        <w:t>rise to the level of private benefit. The land trust</w:t>
      </w:r>
      <w:r w:rsidR="009E6B99">
        <w:rPr>
          <w:rFonts w:ascii="Bookman Old Style" w:hAnsi="Bookman Old Style"/>
          <w:bCs/>
          <w:sz w:val="24"/>
          <w:szCs w:val="24"/>
        </w:rPr>
        <w:t xml:space="preserve"> as an organization or a land trust employee as an individual might have valid reasons for not offering such a service, but they should not use the private benefit doctrine as an excuse.  </w:t>
      </w:r>
    </w:p>
    <w:p w14:paraId="26497C5D" w14:textId="77777777" w:rsidR="00DC7F4F" w:rsidRPr="00DC7F4F" w:rsidRDefault="00DC7F4F" w:rsidP="00DC7F4F">
      <w:pPr>
        <w:rPr>
          <w:rFonts w:ascii="Bookman Old Style" w:hAnsi="Bookman Old Style"/>
          <w:bCs/>
          <w:sz w:val="24"/>
          <w:szCs w:val="24"/>
        </w:rPr>
      </w:pPr>
    </w:p>
    <w:p w14:paraId="0000000B" w14:textId="59CA9E32" w:rsidR="008B0757" w:rsidRDefault="00F64CAC" w:rsidP="0049188A">
      <w:pPr>
        <w:numPr>
          <w:ilvl w:val="0"/>
          <w:numId w:val="1"/>
        </w:numPr>
        <w:ind w:left="360"/>
        <w:rPr>
          <w:rFonts w:ascii="Bookman Old Style" w:hAnsi="Bookman Old Style"/>
          <w:sz w:val="24"/>
          <w:szCs w:val="24"/>
        </w:rPr>
      </w:pPr>
      <w:r w:rsidRPr="00E62D31">
        <w:rPr>
          <w:rFonts w:ascii="Bookman Old Style" w:hAnsi="Bookman Old Style"/>
          <w:b/>
          <w:sz w:val="24"/>
          <w:szCs w:val="24"/>
        </w:rPr>
        <w:t xml:space="preserve">Perceived Barrier: </w:t>
      </w:r>
      <w:r w:rsidRPr="00E62D31">
        <w:rPr>
          <w:rFonts w:ascii="Bookman Old Style" w:hAnsi="Bookman Old Style"/>
          <w:sz w:val="24"/>
          <w:szCs w:val="24"/>
        </w:rPr>
        <w:t>Current land trust practices and conservation easements require strict monitoring and enforcement around Indigenous use of land, which we are told by Indigenous people is culturally inappropriate and harmful.</w:t>
      </w:r>
    </w:p>
    <w:p w14:paraId="4D23DC33" w14:textId="77777777" w:rsidR="002A018D" w:rsidRPr="00E62D31" w:rsidRDefault="002A018D" w:rsidP="00706DC2">
      <w:pPr>
        <w:ind w:left="360"/>
        <w:rPr>
          <w:rFonts w:ascii="Bookman Old Style" w:hAnsi="Bookman Old Style"/>
          <w:sz w:val="24"/>
          <w:szCs w:val="24"/>
        </w:rPr>
      </w:pPr>
    </w:p>
    <w:p w14:paraId="0000000C" w14:textId="6F1B27C9" w:rsidR="008B0757" w:rsidRDefault="00F64CAC" w:rsidP="00706DC2">
      <w:pPr>
        <w:ind w:left="288"/>
        <w:rPr>
          <w:rFonts w:ascii="Bookman Old Style" w:hAnsi="Bookman Old Style"/>
          <w:sz w:val="24"/>
          <w:szCs w:val="24"/>
        </w:rPr>
      </w:pPr>
      <w:r w:rsidRPr="00E62D31">
        <w:rPr>
          <w:rFonts w:ascii="Bookman Old Style" w:hAnsi="Bookman Old Style"/>
          <w:b/>
          <w:sz w:val="24"/>
          <w:szCs w:val="24"/>
        </w:rPr>
        <w:t>Question:</w:t>
      </w:r>
      <w:r w:rsidRPr="00E62D31">
        <w:rPr>
          <w:rFonts w:ascii="Bookman Old Style" w:hAnsi="Bookman Old Style"/>
          <w:sz w:val="24"/>
          <w:szCs w:val="24"/>
        </w:rPr>
        <w:t xml:space="preserve"> Does the law </w:t>
      </w:r>
      <w:proofErr w:type="gramStart"/>
      <w:r w:rsidRPr="00E62D31">
        <w:rPr>
          <w:rFonts w:ascii="Bookman Old Style" w:hAnsi="Bookman Old Style"/>
          <w:sz w:val="24"/>
          <w:szCs w:val="24"/>
        </w:rPr>
        <w:t>actually require</w:t>
      </w:r>
      <w:proofErr w:type="gramEnd"/>
      <w:r w:rsidRPr="00E62D31">
        <w:rPr>
          <w:rFonts w:ascii="Bookman Old Style" w:hAnsi="Bookman Old Style"/>
          <w:sz w:val="24"/>
          <w:szCs w:val="24"/>
        </w:rPr>
        <w:t xml:space="preserve"> monitoring and enforcement at land trust sites? What alternatives to monitoring and enforcement exist for land trusts?</w:t>
      </w:r>
    </w:p>
    <w:p w14:paraId="7FD23397" w14:textId="0D29784E" w:rsidR="009E6B99" w:rsidRDefault="009E6B99" w:rsidP="009E6B99">
      <w:pPr>
        <w:rPr>
          <w:rFonts w:ascii="Bookman Old Style" w:hAnsi="Bookman Old Style"/>
          <w:sz w:val="24"/>
          <w:szCs w:val="24"/>
        </w:rPr>
      </w:pPr>
    </w:p>
    <w:p w14:paraId="7B4E8814" w14:textId="77777777" w:rsidR="00267213" w:rsidRDefault="003B6877" w:rsidP="009E6B99">
      <w:pPr>
        <w:rPr>
          <w:rFonts w:ascii="Bookman Old Style" w:hAnsi="Bookman Old Style"/>
          <w:sz w:val="24"/>
          <w:szCs w:val="24"/>
        </w:rPr>
      </w:pPr>
      <w:r>
        <w:rPr>
          <w:rFonts w:ascii="Bookman Old Style" w:hAnsi="Bookman Old Style"/>
          <w:b/>
          <w:bCs/>
          <w:sz w:val="24"/>
          <w:szCs w:val="24"/>
        </w:rPr>
        <w:t xml:space="preserve">Rob Levin Reply: </w:t>
      </w:r>
      <w:r>
        <w:rPr>
          <w:rFonts w:ascii="Bookman Old Style" w:hAnsi="Bookman Old Style"/>
          <w:sz w:val="24"/>
          <w:szCs w:val="24"/>
        </w:rPr>
        <w:t>Maine’s conservation easement enabling statute require</w:t>
      </w:r>
      <w:r w:rsidR="00D33B18">
        <w:rPr>
          <w:rFonts w:ascii="Bookman Old Style" w:hAnsi="Bookman Old Style"/>
          <w:sz w:val="24"/>
          <w:szCs w:val="24"/>
        </w:rPr>
        <w:t>s</w:t>
      </w:r>
      <w:r>
        <w:rPr>
          <w:rFonts w:ascii="Bookman Old Style" w:hAnsi="Bookman Old Style"/>
          <w:sz w:val="24"/>
          <w:szCs w:val="24"/>
        </w:rPr>
        <w:t xml:space="preserve"> that easement holders monitor the protected property at least once every three years.</w:t>
      </w:r>
      <w:r w:rsidR="00D33B18">
        <w:rPr>
          <w:rStyle w:val="FootnoteReference"/>
          <w:rFonts w:ascii="Bookman Old Style" w:hAnsi="Bookman Old Style"/>
          <w:sz w:val="24"/>
          <w:szCs w:val="24"/>
        </w:rPr>
        <w:footnoteReference w:id="10"/>
      </w:r>
      <w:r w:rsidR="00D33B18">
        <w:rPr>
          <w:rFonts w:ascii="Bookman Old Style" w:hAnsi="Bookman Old Style"/>
          <w:sz w:val="24"/>
          <w:szCs w:val="24"/>
        </w:rPr>
        <w:t xml:space="preserve"> In addition, the Land Trust Standards and Practices, which every </w:t>
      </w:r>
      <w:r w:rsidR="00D33B18">
        <w:rPr>
          <w:rFonts w:ascii="Bookman Old Style" w:hAnsi="Bookman Old Style"/>
          <w:sz w:val="24"/>
          <w:szCs w:val="24"/>
        </w:rPr>
        <w:lastRenderedPageBreak/>
        <w:t>member of the Land Trust Alliance has pledged to follow, requires at least annual monitoring.</w:t>
      </w:r>
      <w:r w:rsidR="00D33B18">
        <w:rPr>
          <w:rStyle w:val="FootnoteReference"/>
          <w:rFonts w:ascii="Bookman Old Style" w:hAnsi="Bookman Old Style"/>
          <w:sz w:val="24"/>
          <w:szCs w:val="24"/>
        </w:rPr>
        <w:footnoteReference w:id="11"/>
      </w:r>
      <w:r w:rsidR="00267213">
        <w:rPr>
          <w:rFonts w:ascii="Bookman Old Style" w:hAnsi="Bookman Old Style"/>
          <w:sz w:val="24"/>
          <w:szCs w:val="24"/>
        </w:rPr>
        <w:t xml:space="preserve"> </w:t>
      </w:r>
    </w:p>
    <w:p w14:paraId="1049D5D4" w14:textId="77777777" w:rsidR="00267213" w:rsidRDefault="00267213" w:rsidP="009E6B99">
      <w:pPr>
        <w:rPr>
          <w:rFonts w:ascii="Bookman Old Style" w:hAnsi="Bookman Old Style"/>
          <w:sz w:val="24"/>
          <w:szCs w:val="24"/>
        </w:rPr>
      </w:pPr>
    </w:p>
    <w:p w14:paraId="60656E4E" w14:textId="77777777" w:rsidR="002A018D" w:rsidRDefault="00267213" w:rsidP="009E6B99">
      <w:pPr>
        <w:rPr>
          <w:rFonts w:ascii="Bookman Old Style" w:hAnsi="Bookman Old Style"/>
          <w:sz w:val="24"/>
          <w:szCs w:val="24"/>
        </w:rPr>
      </w:pPr>
      <w:r>
        <w:rPr>
          <w:rFonts w:ascii="Bookman Old Style" w:hAnsi="Bookman Old Style"/>
          <w:sz w:val="24"/>
          <w:szCs w:val="24"/>
        </w:rPr>
        <w:t xml:space="preserve">I do not recommend that land trusts waive their annual monitoring practices for conservation easements on Indigenous-owned land. That said, land trusts can engage with Tribal representatives when discussing the possibility of an easement to contemplate ways in which the monitoring can be done in a culturally sensitive and respectful manner. </w:t>
      </w:r>
    </w:p>
    <w:p w14:paraId="60C466F2" w14:textId="77777777" w:rsidR="002A018D" w:rsidRDefault="002A018D" w:rsidP="009E6B99">
      <w:pPr>
        <w:rPr>
          <w:rFonts w:ascii="Bookman Old Style" w:hAnsi="Bookman Old Style"/>
          <w:sz w:val="24"/>
          <w:szCs w:val="24"/>
        </w:rPr>
      </w:pPr>
    </w:p>
    <w:p w14:paraId="125B1717" w14:textId="2F0929C7" w:rsidR="003B6877" w:rsidRDefault="002A018D" w:rsidP="009E6B99">
      <w:pPr>
        <w:rPr>
          <w:rFonts w:ascii="Bookman Old Style" w:hAnsi="Bookman Old Style"/>
          <w:sz w:val="24"/>
          <w:szCs w:val="24"/>
        </w:rPr>
      </w:pPr>
      <w:r>
        <w:rPr>
          <w:rFonts w:ascii="Bookman Old Style" w:hAnsi="Bookman Old Style"/>
          <w:sz w:val="24"/>
          <w:szCs w:val="24"/>
        </w:rPr>
        <w:t xml:space="preserve">In addition, land trusts might consider alternatives to conservation easements when participating in a land back project. For example, the </w:t>
      </w:r>
      <w:r w:rsidR="00736586">
        <w:rPr>
          <w:rFonts w:ascii="Bookman Old Style" w:hAnsi="Bookman Old Style"/>
          <w:sz w:val="24"/>
          <w:szCs w:val="24"/>
        </w:rPr>
        <w:t>land trust</w:t>
      </w:r>
      <w:r>
        <w:rPr>
          <w:rFonts w:ascii="Bookman Old Style" w:hAnsi="Bookman Old Style"/>
          <w:sz w:val="24"/>
          <w:szCs w:val="24"/>
        </w:rPr>
        <w:t xml:space="preserve"> </w:t>
      </w:r>
      <w:r w:rsidR="00110CAD">
        <w:rPr>
          <w:rFonts w:ascii="Bookman Old Style" w:hAnsi="Bookman Old Style"/>
          <w:sz w:val="24"/>
          <w:szCs w:val="24"/>
        </w:rPr>
        <w:t xml:space="preserve">Board </w:t>
      </w:r>
      <w:r>
        <w:rPr>
          <w:rFonts w:ascii="Bookman Old Style" w:hAnsi="Bookman Old Style"/>
          <w:sz w:val="24"/>
          <w:szCs w:val="24"/>
        </w:rPr>
        <w:t xml:space="preserve">might </w:t>
      </w:r>
      <w:r w:rsidR="00736586">
        <w:rPr>
          <w:rFonts w:ascii="Bookman Old Style" w:hAnsi="Bookman Old Style"/>
          <w:sz w:val="24"/>
          <w:szCs w:val="24"/>
        </w:rPr>
        <w:t xml:space="preserve">include a statement of intent </w:t>
      </w:r>
      <w:r>
        <w:rPr>
          <w:rFonts w:ascii="Bookman Old Style" w:hAnsi="Bookman Old Style"/>
          <w:sz w:val="24"/>
          <w:szCs w:val="24"/>
        </w:rPr>
        <w:t>as part of the transaction</w:t>
      </w:r>
      <w:r w:rsidR="00110CAD">
        <w:rPr>
          <w:rFonts w:ascii="Bookman Old Style" w:hAnsi="Bookman Old Style"/>
          <w:sz w:val="24"/>
          <w:szCs w:val="24"/>
        </w:rPr>
        <w:t>, and ask the receiving Tribal entity’s governing body to do the same</w:t>
      </w:r>
      <w:r>
        <w:rPr>
          <w:rFonts w:ascii="Bookman Old Style" w:hAnsi="Bookman Old Style"/>
          <w:sz w:val="24"/>
          <w:szCs w:val="24"/>
        </w:rPr>
        <w:t xml:space="preserve">. </w:t>
      </w:r>
    </w:p>
    <w:p w14:paraId="594D6598" w14:textId="77777777" w:rsidR="0057790A" w:rsidRDefault="0057790A" w:rsidP="009E6B99">
      <w:pPr>
        <w:rPr>
          <w:rFonts w:ascii="Bookman Old Style" w:hAnsi="Bookman Old Style"/>
          <w:sz w:val="24"/>
          <w:szCs w:val="24"/>
        </w:rPr>
      </w:pPr>
    </w:p>
    <w:p w14:paraId="4B5D9600" w14:textId="1B08C753" w:rsidR="00112035" w:rsidRDefault="00112035" w:rsidP="009E6B99">
      <w:pPr>
        <w:rPr>
          <w:rFonts w:ascii="Bookman Old Style" w:hAnsi="Bookman Old Style"/>
          <w:sz w:val="24"/>
          <w:szCs w:val="24"/>
        </w:rPr>
      </w:pPr>
      <w:r>
        <w:rPr>
          <w:rFonts w:ascii="Bookman Old Style" w:hAnsi="Bookman Old Style"/>
          <w:sz w:val="24"/>
          <w:szCs w:val="24"/>
        </w:rPr>
        <w:t xml:space="preserve">Furthermore, the </w:t>
      </w:r>
      <w:r w:rsidR="006D1EE4">
        <w:rPr>
          <w:rFonts w:ascii="Bookman Old Style" w:hAnsi="Bookman Old Style"/>
          <w:sz w:val="24"/>
          <w:szCs w:val="24"/>
        </w:rPr>
        <w:t xml:space="preserve">legal and philosophical </w:t>
      </w:r>
      <w:r>
        <w:rPr>
          <w:rFonts w:ascii="Bookman Old Style" w:hAnsi="Bookman Old Style"/>
          <w:sz w:val="24"/>
          <w:szCs w:val="24"/>
        </w:rPr>
        <w:t xml:space="preserve">nature of conservation easements </w:t>
      </w:r>
      <w:r w:rsidR="006D1EE4">
        <w:rPr>
          <w:rFonts w:ascii="Bookman Old Style" w:hAnsi="Bookman Old Style"/>
          <w:sz w:val="24"/>
          <w:szCs w:val="24"/>
        </w:rPr>
        <w:t>presumes that landowners are not to be trusted as stewards of their own property. This approach, focused on</w:t>
      </w:r>
      <w:r>
        <w:rPr>
          <w:rFonts w:ascii="Bookman Old Style" w:hAnsi="Bookman Old Style"/>
          <w:sz w:val="24"/>
          <w:szCs w:val="24"/>
        </w:rPr>
        <w:t xml:space="preserve"> monitoring </w:t>
      </w:r>
      <w:r w:rsidR="006D1EE4">
        <w:rPr>
          <w:rFonts w:ascii="Bookman Old Style" w:hAnsi="Bookman Old Style"/>
          <w:sz w:val="24"/>
          <w:szCs w:val="24"/>
        </w:rPr>
        <w:t xml:space="preserve">and enforcement, </w:t>
      </w:r>
      <w:r>
        <w:rPr>
          <w:rFonts w:ascii="Bookman Old Style" w:hAnsi="Bookman Old Style"/>
          <w:sz w:val="24"/>
          <w:szCs w:val="24"/>
        </w:rPr>
        <w:t xml:space="preserve">suggests that the tool itself may </w:t>
      </w:r>
      <w:r w:rsidR="006D1EE4">
        <w:rPr>
          <w:rFonts w:ascii="Bookman Old Style" w:hAnsi="Bookman Old Style"/>
          <w:sz w:val="24"/>
          <w:szCs w:val="24"/>
        </w:rPr>
        <w:t xml:space="preserve">be </w:t>
      </w:r>
      <w:r w:rsidR="00995642">
        <w:rPr>
          <w:rFonts w:ascii="Bookman Old Style" w:hAnsi="Bookman Old Style"/>
          <w:sz w:val="24"/>
          <w:szCs w:val="24"/>
        </w:rPr>
        <w:t xml:space="preserve">fundamentally </w:t>
      </w:r>
      <w:r w:rsidR="00706DC2">
        <w:rPr>
          <w:rFonts w:ascii="Bookman Old Style" w:hAnsi="Bookman Old Style"/>
          <w:sz w:val="24"/>
          <w:szCs w:val="24"/>
        </w:rPr>
        <w:t>incompatible for collaboration</w:t>
      </w:r>
      <w:r>
        <w:rPr>
          <w:rFonts w:ascii="Bookman Old Style" w:hAnsi="Bookman Old Style"/>
          <w:sz w:val="24"/>
          <w:szCs w:val="24"/>
        </w:rPr>
        <w:t xml:space="preserve"> with </w:t>
      </w:r>
      <w:r w:rsidR="0057790A">
        <w:rPr>
          <w:rFonts w:ascii="Bookman Old Style" w:hAnsi="Bookman Old Style"/>
          <w:sz w:val="24"/>
          <w:szCs w:val="24"/>
        </w:rPr>
        <w:t>Indigenous</w:t>
      </w:r>
      <w:r>
        <w:rPr>
          <w:rFonts w:ascii="Bookman Old Style" w:hAnsi="Bookman Old Style"/>
          <w:sz w:val="24"/>
          <w:szCs w:val="24"/>
        </w:rPr>
        <w:t xml:space="preserve"> nations and </w:t>
      </w:r>
      <w:r w:rsidR="006D1EE4">
        <w:rPr>
          <w:rFonts w:ascii="Bookman Old Style" w:hAnsi="Bookman Old Style"/>
          <w:sz w:val="24"/>
          <w:szCs w:val="24"/>
        </w:rPr>
        <w:t xml:space="preserve">organizations </w:t>
      </w:r>
      <w:r w:rsidR="001F4A10">
        <w:rPr>
          <w:rFonts w:ascii="Bookman Old Style" w:hAnsi="Bookman Old Style"/>
          <w:sz w:val="24"/>
          <w:szCs w:val="24"/>
        </w:rPr>
        <w:t xml:space="preserve">for </w:t>
      </w:r>
      <w:r w:rsidR="0057790A">
        <w:rPr>
          <w:rFonts w:ascii="Bookman Old Style" w:hAnsi="Bookman Old Style"/>
          <w:sz w:val="24"/>
          <w:szCs w:val="24"/>
        </w:rPr>
        <w:t xml:space="preserve">whom sovereignty </w:t>
      </w:r>
      <w:r w:rsidR="006D1EE4">
        <w:rPr>
          <w:rFonts w:ascii="Bookman Old Style" w:hAnsi="Bookman Old Style"/>
          <w:sz w:val="24"/>
          <w:szCs w:val="24"/>
        </w:rPr>
        <w:t xml:space="preserve">and trust </w:t>
      </w:r>
      <w:r w:rsidR="00995642">
        <w:rPr>
          <w:rFonts w:ascii="Bookman Old Style" w:hAnsi="Bookman Old Style"/>
          <w:sz w:val="24"/>
          <w:szCs w:val="24"/>
        </w:rPr>
        <w:t>are</w:t>
      </w:r>
      <w:r w:rsidR="0057790A">
        <w:rPr>
          <w:rFonts w:ascii="Bookman Old Style" w:hAnsi="Bookman Old Style"/>
          <w:sz w:val="24"/>
          <w:szCs w:val="24"/>
        </w:rPr>
        <w:t xml:space="preserve"> paramount issue</w:t>
      </w:r>
      <w:r w:rsidR="00995642">
        <w:rPr>
          <w:rFonts w:ascii="Bookman Old Style" w:hAnsi="Bookman Old Style"/>
          <w:sz w:val="24"/>
          <w:szCs w:val="24"/>
        </w:rPr>
        <w:t>s</w:t>
      </w:r>
      <w:r w:rsidR="0057790A">
        <w:rPr>
          <w:rFonts w:ascii="Bookman Old Style" w:hAnsi="Bookman Old Style"/>
          <w:sz w:val="24"/>
          <w:szCs w:val="24"/>
        </w:rPr>
        <w:t xml:space="preserve">. </w:t>
      </w:r>
    </w:p>
    <w:p w14:paraId="4F1EFC9A" w14:textId="72CD8FCF" w:rsidR="00267213" w:rsidRDefault="00267213" w:rsidP="009E6B99">
      <w:pPr>
        <w:rPr>
          <w:rFonts w:ascii="Bookman Old Style" w:hAnsi="Bookman Old Style"/>
          <w:sz w:val="24"/>
          <w:szCs w:val="24"/>
        </w:rPr>
      </w:pPr>
    </w:p>
    <w:p w14:paraId="122A60F7" w14:textId="77777777" w:rsidR="003B6877" w:rsidRPr="003B6877" w:rsidRDefault="003B6877" w:rsidP="009E6B99">
      <w:pPr>
        <w:rPr>
          <w:rFonts w:ascii="Bookman Old Style" w:hAnsi="Bookman Old Style"/>
          <w:sz w:val="24"/>
          <w:szCs w:val="24"/>
        </w:rPr>
      </w:pPr>
    </w:p>
    <w:p w14:paraId="0000000D" w14:textId="6B3460FA" w:rsidR="008B0757" w:rsidRPr="00680CD6" w:rsidRDefault="00F64CAC" w:rsidP="00702858">
      <w:pPr>
        <w:numPr>
          <w:ilvl w:val="0"/>
          <w:numId w:val="1"/>
        </w:numPr>
        <w:ind w:left="360"/>
        <w:rPr>
          <w:rFonts w:ascii="Bookman Old Style" w:hAnsi="Bookman Old Style"/>
          <w:sz w:val="24"/>
          <w:szCs w:val="24"/>
        </w:rPr>
      </w:pPr>
      <w:r w:rsidRPr="00680CD6">
        <w:rPr>
          <w:rFonts w:ascii="Bookman Old Style" w:hAnsi="Bookman Old Style"/>
          <w:b/>
          <w:sz w:val="24"/>
          <w:szCs w:val="24"/>
        </w:rPr>
        <w:t xml:space="preserve">Perceived Barrier: </w:t>
      </w:r>
      <w:r w:rsidR="004330F9">
        <w:rPr>
          <w:rFonts w:ascii="Bookman Old Style" w:hAnsi="Bookman Old Style"/>
          <w:bCs/>
          <w:sz w:val="24"/>
          <w:szCs w:val="24"/>
        </w:rPr>
        <w:t xml:space="preserve">First Light </w:t>
      </w:r>
      <w:r w:rsidR="00425368">
        <w:rPr>
          <w:rFonts w:ascii="Bookman Old Style" w:hAnsi="Bookman Old Style"/>
          <w:bCs/>
          <w:sz w:val="24"/>
          <w:szCs w:val="24"/>
        </w:rPr>
        <w:t>organizations use</w:t>
      </w:r>
      <w:r w:rsidR="004330F9">
        <w:rPr>
          <w:rFonts w:ascii="Bookman Old Style" w:hAnsi="Bookman Old Style"/>
          <w:bCs/>
          <w:sz w:val="24"/>
          <w:szCs w:val="24"/>
        </w:rPr>
        <w:t xml:space="preserve"> various terms to describe the legal tools for encouraging access to and protection of land. We have talked about “conservation easements,” </w:t>
      </w:r>
      <w:r w:rsidR="004330F9">
        <w:rPr>
          <w:rFonts w:ascii="Bookman Old Style" w:hAnsi="Bookman Old Style"/>
          <w:sz w:val="24"/>
          <w:szCs w:val="24"/>
        </w:rPr>
        <w:t>"c</w:t>
      </w:r>
      <w:r w:rsidRPr="00680CD6">
        <w:rPr>
          <w:rFonts w:ascii="Bookman Old Style" w:hAnsi="Bookman Old Style"/>
          <w:sz w:val="24"/>
          <w:szCs w:val="24"/>
        </w:rPr>
        <w:t>ultural easements</w:t>
      </w:r>
      <w:r w:rsidR="004330F9">
        <w:rPr>
          <w:rFonts w:ascii="Bookman Old Style" w:hAnsi="Bookman Old Style"/>
          <w:sz w:val="24"/>
          <w:szCs w:val="24"/>
        </w:rPr>
        <w:t>,” and “cultural use agreements,” to name the most common tools. But there is some confusion among our participants and among land trusts on what these different tools can achieve, and how they are treated under the law.</w:t>
      </w:r>
      <w:r w:rsidRPr="00680CD6">
        <w:rPr>
          <w:rFonts w:ascii="Bookman Old Style" w:hAnsi="Bookman Old Style"/>
          <w:sz w:val="24"/>
          <w:szCs w:val="24"/>
        </w:rPr>
        <w:t xml:space="preserve"> </w:t>
      </w:r>
    </w:p>
    <w:p w14:paraId="01AAA12D" w14:textId="77777777" w:rsidR="00702858" w:rsidRDefault="00702858" w:rsidP="00702858">
      <w:pPr>
        <w:ind w:left="360"/>
        <w:rPr>
          <w:rFonts w:ascii="Bookman Old Style" w:hAnsi="Bookman Old Style"/>
          <w:b/>
          <w:sz w:val="24"/>
          <w:szCs w:val="24"/>
        </w:rPr>
      </w:pPr>
    </w:p>
    <w:p w14:paraId="5302C407" w14:textId="2EB9ACCE" w:rsidR="00E62D31" w:rsidRDefault="00F64CAC" w:rsidP="00E62D31">
      <w:pPr>
        <w:ind w:left="360"/>
        <w:rPr>
          <w:rFonts w:ascii="Bookman Old Style" w:hAnsi="Bookman Old Style"/>
          <w:sz w:val="24"/>
          <w:szCs w:val="24"/>
        </w:rPr>
      </w:pPr>
      <w:r w:rsidRPr="00680CD6">
        <w:rPr>
          <w:rFonts w:ascii="Bookman Old Style" w:hAnsi="Bookman Old Style"/>
          <w:b/>
          <w:sz w:val="24"/>
          <w:szCs w:val="24"/>
        </w:rPr>
        <w:t xml:space="preserve">Question: </w:t>
      </w:r>
      <w:r w:rsidR="004330F9">
        <w:rPr>
          <w:rFonts w:ascii="Bookman Old Style" w:hAnsi="Bookman Old Style"/>
          <w:bCs/>
          <w:sz w:val="24"/>
          <w:szCs w:val="24"/>
        </w:rPr>
        <w:t xml:space="preserve">What is the difference between a “conservation easement,” a “cultural easement,” and a “cultural use agreement”? </w:t>
      </w:r>
      <w:r w:rsidR="004330F9">
        <w:rPr>
          <w:rFonts w:ascii="Bookman Old Style" w:hAnsi="Bookman Old Style"/>
          <w:sz w:val="24"/>
          <w:szCs w:val="24"/>
        </w:rPr>
        <w:t xml:space="preserve">What </w:t>
      </w:r>
      <w:r w:rsidRPr="00680CD6">
        <w:rPr>
          <w:rFonts w:ascii="Bookman Old Style" w:hAnsi="Bookman Old Style"/>
          <w:sz w:val="24"/>
          <w:szCs w:val="24"/>
        </w:rPr>
        <w:t>law</w:t>
      </w:r>
      <w:r w:rsidR="004330F9">
        <w:rPr>
          <w:rFonts w:ascii="Bookman Old Style" w:hAnsi="Bookman Old Style"/>
          <w:sz w:val="24"/>
          <w:szCs w:val="24"/>
        </w:rPr>
        <w:t>s guide these different tools?</w:t>
      </w:r>
    </w:p>
    <w:p w14:paraId="4A2AAC2D" w14:textId="3B02EF4C" w:rsidR="004330F9" w:rsidRDefault="004330F9" w:rsidP="004330F9">
      <w:pPr>
        <w:rPr>
          <w:rFonts w:ascii="Bookman Old Style" w:hAnsi="Bookman Old Style"/>
          <w:sz w:val="24"/>
          <w:szCs w:val="24"/>
        </w:rPr>
      </w:pPr>
    </w:p>
    <w:p w14:paraId="7AA3140B" w14:textId="663372C5" w:rsidR="004330F9" w:rsidRDefault="004330F9" w:rsidP="004330F9">
      <w:pPr>
        <w:rPr>
          <w:rFonts w:ascii="Bookman Old Style" w:hAnsi="Bookman Old Style"/>
          <w:sz w:val="24"/>
          <w:szCs w:val="24"/>
        </w:rPr>
      </w:pPr>
      <w:r>
        <w:rPr>
          <w:rFonts w:ascii="Bookman Old Style" w:hAnsi="Bookman Old Style"/>
          <w:b/>
          <w:bCs/>
          <w:sz w:val="24"/>
          <w:szCs w:val="24"/>
        </w:rPr>
        <w:t>Rob Levin Reply:</w:t>
      </w:r>
      <w:r>
        <w:rPr>
          <w:rFonts w:ascii="Bookman Old Style" w:hAnsi="Bookman Old Style"/>
          <w:sz w:val="24"/>
          <w:szCs w:val="24"/>
        </w:rPr>
        <w:t xml:space="preserve"> Yes, there are different terms and various tools floating around in these discussions, so let’s break them down one by one. </w:t>
      </w:r>
    </w:p>
    <w:p w14:paraId="5EC6EEFB" w14:textId="47DBA6BA" w:rsidR="004330F9" w:rsidRDefault="004330F9" w:rsidP="004330F9">
      <w:pPr>
        <w:rPr>
          <w:rFonts w:ascii="Bookman Old Style" w:hAnsi="Bookman Old Style"/>
          <w:sz w:val="24"/>
          <w:szCs w:val="24"/>
        </w:rPr>
      </w:pPr>
    </w:p>
    <w:p w14:paraId="5098090F" w14:textId="4786B84D" w:rsidR="004330F9" w:rsidRDefault="004330F9" w:rsidP="004330F9">
      <w:pPr>
        <w:rPr>
          <w:rFonts w:ascii="Bookman Old Style" w:hAnsi="Bookman Old Style"/>
          <w:sz w:val="24"/>
          <w:szCs w:val="24"/>
        </w:rPr>
      </w:pPr>
      <w:r>
        <w:rPr>
          <w:rFonts w:ascii="Bookman Old Style" w:hAnsi="Bookman Old Style"/>
          <w:sz w:val="24"/>
          <w:szCs w:val="24"/>
        </w:rPr>
        <w:lastRenderedPageBreak/>
        <w:t xml:space="preserve">A “conservation easement” is a statutorily defined instrument that has a focus on protecting a parcel of land from uses that are seen as incompatible with conservation, recreation, and/or historic preservation. </w:t>
      </w:r>
      <w:r w:rsidRPr="004330F9">
        <w:rPr>
          <w:rFonts w:ascii="Bookman Old Style" w:hAnsi="Bookman Old Style"/>
          <w:sz w:val="24"/>
          <w:szCs w:val="24"/>
          <w:lang w:val="en-US"/>
        </w:rPr>
        <w:t xml:space="preserve">A conservation easement </w:t>
      </w:r>
      <w:r>
        <w:rPr>
          <w:rFonts w:ascii="Bookman Old Style" w:hAnsi="Bookman Old Style"/>
          <w:sz w:val="24"/>
          <w:szCs w:val="24"/>
          <w:lang w:val="en-US"/>
        </w:rPr>
        <w:t xml:space="preserve">perpetually extinguishes certain usage </w:t>
      </w:r>
      <w:r w:rsidRPr="004330F9">
        <w:rPr>
          <w:rFonts w:ascii="Bookman Old Style" w:hAnsi="Bookman Old Style"/>
          <w:sz w:val="24"/>
          <w:szCs w:val="24"/>
          <w:lang w:val="en-US"/>
        </w:rPr>
        <w:t>rights, such as constructing buildings</w:t>
      </w:r>
      <w:r w:rsidR="00EC479C">
        <w:rPr>
          <w:rFonts w:ascii="Bookman Old Style" w:hAnsi="Bookman Old Style"/>
          <w:sz w:val="24"/>
          <w:szCs w:val="24"/>
          <w:lang w:val="en-US"/>
        </w:rPr>
        <w:t>, mining the surface, or clearcutting trees</w:t>
      </w:r>
      <w:r w:rsidRPr="004330F9">
        <w:rPr>
          <w:rFonts w:ascii="Bookman Old Style" w:hAnsi="Bookman Old Style"/>
          <w:sz w:val="24"/>
          <w:szCs w:val="24"/>
          <w:lang w:val="en-US"/>
        </w:rPr>
        <w:t xml:space="preserve">. A historic preservation easement is </w:t>
      </w:r>
      <w:r w:rsidR="00EC479C">
        <w:rPr>
          <w:rFonts w:ascii="Bookman Old Style" w:hAnsi="Bookman Old Style"/>
          <w:sz w:val="24"/>
          <w:szCs w:val="24"/>
          <w:lang w:val="en-US"/>
        </w:rPr>
        <w:t xml:space="preserve">a form of conservation easement </w:t>
      </w:r>
      <w:r w:rsidR="00EF063F">
        <w:rPr>
          <w:rFonts w:ascii="Bookman Old Style" w:hAnsi="Bookman Old Style"/>
          <w:sz w:val="24"/>
          <w:szCs w:val="24"/>
          <w:lang w:val="en-US"/>
        </w:rPr>
        <w:t>that</w:t>
      </w:r>
      <w:r w:rsidRPr="004330F9">
        <w:rPr>
          <w:rFonts w:ascii="Bookman Old Style" w:hAnsi="Bookman Old Style"/>
          <w:sz w:val="24"/>
          <w:szCs w:val="24"/>
          <w:lang w:val="en-US"/>
        </w:rPr>
        <w:t xml:space="preserve"> extinguishes rights to alter the exterior of a historic building or other structure. A governmental entity or a nonprofit conservation or historic preservation organization must hold these easements, and they are governed by specific </w:t>
      </w:r>
      <w:r w:rsidR="00EC479C">
        <w:rPr>
          <w:rFonts w:ascii="Bookman Old Style" w:hAnsi="Bookman Old Style"/>
          <w:sz w:val="24"/>
          <w:szCs w:val="24"/>
          <w:lang w:val="en-US"/>
        </w:rPr>
        <w:t xml:space="preserve">state enabling </w:t>
      </w:r>
      <w:r w:rsidRPr="004330F9">
        <w:rPr>
          <w:rFonts w:ascii="Bookman Old Style" w:hAnsi="Bookman Old Style"/>
          <w:sz w:val="24"/>
          <w:szCs w:val="24"/>
          <w:lang w:val="en-US"/>
        </w:rPr>
        <w:t>statutes.</w:t>
      </w:r>
      <w:r>
        <w:rPr>
          <w:rFonts w:ascii="Bookman Old Style" w:hAnsi="Bookman Old Style"/>
          <w:sz w:val="24"/>
          <w:szCs w:val="24"/>
        </w:rPr>
        <w:t xml:space="preserve"> </w:t>
      </w:r>
      <w:r w:rsidR="00EC479C">
        <w:rPr>
          <w:rFonts w:ascii="Bookman Old Style" w:hAnsi="Bookman Old Style"/>
          <w:sz w:val="24"/>
          <w:szCs w:val="24"/>
        </w:rPr>
        <w:t>Maine’s enabling statute</w:t>
      </w:r>
      <w:r w:rsidR="00EC479C">
        <w:rPr>
          <w:rStyle w:val="FootnoteReference"/>
          <w:rFonts w:ascii="Bookman Old Style" w:hAnsi="Bookman Old Style"/>
          <w:sz w:val="24"/>
          <w:szCs w:val="24"/>
        </w:rPr>
        <w:footnoteReference w:id="12"/>
      </w:r>
      <w:r w:rsidR="00EC479C">
        <w:rPr>
          <w:rFonts w:ascii="Bookman Old Style" w:hAnsi="Bookman Old Style"/>
          <w:sz w:val="24"/>
          <w:szCs w:val="24"/>
        </w:rPr>
        <w:t xml:space="preserve"> was enacted in 198</w:t>
      </w:r>
      <w:r w:rsidR="00745249">
        <w:rPr>
          <w:rFonts w:ascii="Bookman Old Style" w:hAnsi="Bookman Old Style"/>
          <w:sz w:val="24"/>
          <w:szCs w:val="24"/>
        </w:rPr>
        <w:t>5</w:t>
      </w:r>
      <w:r w:rsidR="00EC479C">
        <w:rPr>
          <w:rFonts w:ascii="Bookman Old Style" w:hAnsi="Bookman Old Style"/>
          <w:sz w:val="24"/>
          <w:szCs w:val="24"/>
        </w:rPr>
        <w:t xml:space="preserve"> and was amended in 2007 to provide additional guidance, especially for amendment and termination. </w:t>
      </w:r>
      <w:r w:rsidR="00566D6E">
        <w:rPr>
          <w:rFonts w:ascii="Bookman Old Style" w:hAnsi="Bookman Old Style"/>
          <w:sz w:val="24"/>
          <w:szCs w:val="24"/>
        </w:rPr>
        <w:t xml:space="preserve">The term “conservation easement” also has a federal context, because if a conservation easement is donated and meets certain standards set forth in I.R.C. </w:t>
      </w:r>
      <w:r w:rsidR="00566D6E">
        <w:rPr>
          <w:rFonts w:ascii="Times New Roman" w:hAnsi="Times New Roman" w:cs="Times New Roman"/>
          <w:sz w:val="24"/>
          <w:szCs w:val="24"/>
        </w:rPr>
        <w:t>§</w:t>
      </w:r>
      <w:r w:rsidR="00566D6E">
        <w:rPr>
          <w:rFonts w:ascii="Bookman Old Style" w:hAnsi="Bookman Old Style"/>
          <w:sz w:val="24"/>
          <w:szCs w:val="24"/>
        </w:rPr>
        <w:t xml:space="preserve"> 170(h) and accompanying regulations, the donor is eligible for a federal income tax charitable deduction.</w:t>
      </w:r>
      <w:r w:rsidR="008F03B9">
        <w:rPr>
          <w:rFonts w:ascii="Bookman Old Style" w:hAnsi="Bookman Old Style"/>
          <w:sz w:val="24"/>
          <w:szCs w:val="24"/>
        </w:rPr>
        <w:t xml:space="preserve"> </w:t>
      </w:r>
    </w:p>
    <w:p w14:paraId="1CF7D7E6" w14:textId="3A45E6F0" w:rsidR="00EC479C" w:rsidRDefault="00EC479C" w:rsidP="004330F9">
      <w:pPr>
        <w:rPr>
          <w:rFonts w:ascii="Bookman Old Style" w:hAnsi="Bookman Old Style"/>
          <w:sz w:val="24"/>
          <w:szCs w:val="24"/>
        </w:rPr>
      </w:pPr>
    </w:p>
    <w:p w14:paraId="26B95D3B" w14:textId="75C4A0D6" w:rsidR="00EC479C" w:rsidRDefault="00EC479C" w:rsidP="00745249">
      <w:pPr>
        <w:rPr>
          <w:rFonts w:ascii="Bookman Old Style" w:hAnsi="Bookman Old Style"/>
          <w:sz w:val="24"/>
          <w:szCs w:val="24"/>
        </w:rPr>
      </w:pPr>
      <w:r>
        <w:rPr>
          <w:rFonts w:ascii="Bookman Old Style" w:hAnsi="Bookman Old Style"/>
          <w:sz w:val="24"/>
          <w:szCs w:val="24"/>
        </w:rPr>
        <w:t>A “cultural easement”</w:t>
      </w:r>
      <w:r w:rsidR="00745249">
        <w:rPr>
          <w:rFonts w:ascii="Bookman Old Style" w:hAnsi="Bookman Old Style"/>
          <w:sz w:val="24"/>
          <w:szCs w:val="24"/>
        </w:rPr>
        <w:t xml:space="preserve">, </w:t>
      </w:r>
      <w:r>
        <w:rPr>
          <w:rFonts w:ascii="Bookman Old Style" w:hAnsi="Bookman Old Style"/>
          <w:sz w:val="24"/>
          <w:szCs w:val="24"/>
        </w:rPr>
        <w:t>or “cultural conservation easement</w:t>
      </w:r>
      <w:r w:rsidR="00745249">
        <w:rPr>
          <w:rFonts w:ascii="Bookman Old Style" w:hAnsi="Bookman Old Style"/>
          <w:sz w:val="24"/>
          <w:szCs w:val="24"/>
        </w:rPr>
        <w:t>,</w:t>
      </w:r>
      <w:r>
        <w:rPr>
          <w:rFonts w:ascii="Bookman Old Style" w:hAnsi="Bookman Old Style"/>
          <w:sz w:val="24"/>
          <w:szCs w:val="24"/>
        </w:rPr>
        <w:t xml:space="preserve">” is </w:t>
      </w:r>
      <w:r w:rsidR="00745249">
        <w:rPr>
          <w:rFonts w:ascii="Bookman Old Style" w:hAnsi="Bookman Old Style"/>
          <w:sz w:val="24"/>
          <w:szCs w:val="24"/>
        </w:rPr>
        <w:t>a term used for a conservation easement that includes the protection of cultural features as one of its purposes. Most state conservation easement enabling statutes follow the Uniform Conservation Easement Act (UCEA) and include the preservation of “</w:t>
      </w:r>
      <w:r w:rsidR="00745249" w:rsidRPr="00745249">
        <w:rPr>
          <w:rFonts w:ascii="Bookman Old Style" w:hAnsi="Bookman Old Style"/>
          <w:sz w:val="24"/>
          <w:szCs w:val="24"/>
        </w:rPr>
        <w:t>historical, architectural, archaeological, or</w:t>
      </w:r>
      <w:r w:rsidR="00745249">
        <w:rPr>
          <w:rFonts w:ascii="Bookman Old Style" w:hAnsi="Bookman Old Style"/>
          <w:sz w:val="24"/>
          <w:szCs w:val="24"/>
        </w:rPr>
        <w:t xml:space="preserve"> </w:t>
      </w:r>
      <w:r w:rsidR="00745249" w:rsidRPr="00745249">
        <w:rPr>
          <w:rFonts w:ascii="Bookman Old Style" w:hAnsi="Bookman Old Style"/>
          <w:sz w:val="24"/>
          <w:szCs w:val="24"/>
        </w:rPr>
        <w:t>cultural aspects of real property</w:t>
      </w:r>
      <w:r w:rsidR="00745249">
        <w:rPr>
          <w:rFonts w:ascii="Bookman Old Style" w:hAnsi="Bookman Old Style"/>
          <w:sz w:val="24"/>
          <w:szCs w:val="24"/>
        </w:rPr>
        <w:t xml:space="preserve">” as an authorized purpose of a conservation easement. Maine’s conservation easement enabling statue preceded the development of the UCEA and does not include this text. Thus, a cultural easement or cultural conservation easement is </w:t>
      </w:r>
      <w:r>
        <w:rPr>
          <w:rFonts w:ascii="Bookman Old Style" w:hAnsi="Bookman Old Style"/>
          <w:sz w:val="24"/>
          <w:szCs w:val="24"/>
        </w:rPr>
        <w:t>not a creature of statute</w:t>
      </w:r>
      <w:r w:rsidR="00745249">
        <w:rPr>
          <w:rFonts w:ascii="Bookman Old Style" w:hAnsi="Bookman Old Style"/>
          <w:sz w:val="24"/>
          <w:szCs w:val="24"/>
        </w:rPr>
        <w:t xml:space="preserve"> </w:t>
      </w:r>
      <w:r>
        <w:rPr>
          <w:rFonts w:ascii="Bookman Old Style" w:hAnsi="Bookman Old Style"/>
          <w:sz w:val="24"/>
          <w:szCs w:val="24"/>
        </w:rPr>
        <w:t xml:space="preserve">in Maine. </w:t>
      </w:r>
      <w:r w:rsidR="00745249">
        <w:rPr>
          <w:rFonts w:ascii="Bookman Old Style" w:hAnsi="Bookman Old Style"/>
          <w:sz w:val="24"/>
          <w:szCs w:val="24"/>
        </w:rPr>
        <w:t>(</w:t>
      </w:r>
      <w:proofErr w:type="gramStart"/>
      <w:r w:rsidR="00745249">
        <w:rPr>
          <w:rFonts w:ascii="Bookman Old Style" w:hAnsi="Bookman Old Style"/>
          <w:sz w:val="24"/>
          <w:szCs w:val="24"/>
        </w:rPr>
        <w:t>At least not yet,</w:t>
      </w:r>
      <w:proofErr w:type="gramEnd"/>
      <w:r w:rsidR="00745249">
        <w:rPr>
          <w:rFonts w:ascii="Bookman Old Style" w:hAnsi="Bookman Old Style"/>
          <w:sz w:val="24"/>
          <w:szCs w:val="24"/>
        </w:rPr>
        <w:t xml:space="preserve"> as First Light or other interested organizations could seek an amendment to the enabling statute to </w:t>
      </w:r>
      <w:r w:rsidR="00EF063F">
        <w:rPr>
          <w:rFonts w:ascii="Bookman Old Style" w:hAnsi="Bookman Old Style"/>
          <w:sz w:val="24"/>
          <w:szCs w:val="24"/>
        </w:rPr>
        <w:t xml:space="preserve">add this language as an authorized purpose.) </w:t>
      </w:r>
      <w:r w:rsidR="008742A6">
        <w:rPr>
          <w:rFonts w:ascii="Bookman Old Style" w:hAnsi="Bookman Old Style"/>
          <w:sz w:val="24"/>
          <w:szCs w:val="24"/>
        </w:rPr>
        <w:t xml:space="preserve">However, a conservation easement could be used in Maine to protect land that has important Indigenous-related historic or cultural values from development. </w:t>
      </w:r>
    </w:p>
    <w:p w14:paraId="135B31A6" w14:textId="15E168F6" w:rsidR="008742A6" w:rsidRDefault="008742A6" w:rsidP="00745249">
      <w:pPr>
        <w:rPr>
          <w:rFonts w:ascii="Bookman Old Style" w:hAnsi="Bookman Old Style"/>
          <w:sz w:val="24"/>
          <w:szCs w:val="24"/>
        </w:rPr>
      </w:pPr>
    </w:p>
    <w:p w14:paraId="4B058DB7" w14:textId="504FDC6B" w:rsidR="00FC046C" w:rsidRDefault="008742A6" w:rsidP="00745249">
      <w:pPr>
        <w:rPr>
          <w:rFonts w:ascii="Bookman Old Style" w:hAnsi="Bookman Old Style"/>
          <w:sz w:val="24"/>
          <w:szCs w:val="24"/>
        </w:rPr>
      </w:pPr>
      <w:r>
        <w:rPr>
          <w:rFonts w:ascii="Bookman Old Style" w:hAnsi="Bookman Old Style"/>
          <w:sz w:val="24"/>
          <w:szCs w:val="24"/>
        </w:rPr>
        <w:t xml:space="preserve">A “cultural use agreement” or “cultural access agreement” </w:t>
      </w:r>
      <w:r w:rsidR="00566D6E">
        <w:rPr>
          <w:rFonts w:ascii="Bookman Old Style" w:hAnsi="Bookman Old Style"/>
          <w:sz w:val="24"/>
          <w:szCs w:val="24"/>
        </w:rPr>
        <w:t xml:space="preserve">or “cultural respect agreement” </w:t>
      </w:r>
      <w:r>
        <w:rPr>
          <w:rFonts w:ascii="Bookman Old Style" w:hAnsi="Bookman Old Style"/>
          <w:sz w:val="24"/>
          <w:szCs w:val="24"/>
        </w:rPr>
        <w:t>is a somewhat different tool, with a focus on access and not protection.</w:t>
      </w:r>
      <w:r>
        <w:rPr>
          <w:rStyle w:val="FootnoteReference"/>
          <w:rFonts w:ascii="Bookman Old Style" w:hAnsi="Bookman Old Style"/>
          <w:sz w:val="24"/>
          <w:szCs w:val="24"/>
        </w:rPr>
        <w:footnoteReference w:id="13"/>
      </w:r>
      <w:r>
        <w:rPr>
          <w:rFonts w:ascii="Bookman Old Style" w:hAnsi="Bookman Old Style"/>
          <w:sz w:val="24"/>
          <w:szCs w:val="24"/>
        </w:rPr>
        <w:t xml:space="preserve"> </w:t>
      </w:r>
      <w:r w:rsidR="00566D6E">
        <w:rPr>
          <w:rFonts w:ascii="Bookman Old Style" w:hAnsi="Bookman Old Style"/>
          <w:sz w:val="24"/>
          <w:szCs w:val="24"/>
        </w:rPr>
        <w:t xml:space="preserve">The general thrust of a cultural use agreement is to allow access </w:t>
      </w:r>
      <w:r w:rsidR="00566D6E">
        <w:rPr>
          <w:rFonts w:ascii="Bookman Old Style" w:hAnsi="Bookman Old Style"/>
          <w:sz w:val="24"/>
          <w:szCs w:val="24"/>
        </w:rPr>
        <w:lastRenderedPageBreak/>
        <w:t>by Indigenous Tribal members or organizations for sustainable harvesting (of sweetgrass or ash bark, for example) or for cultural or religious ceremonies. A cultural use agreement could be for a term of years, or it could be perpetual. It could be irrevocable or revocable</w:t>
      </w:r>
      <w:r w:rsidR="00596E0C">
        <w:rPr>
          <w:rFonts w:ascii="Bookman Old Style" w:hAnsi="Bookman Old Style"/>
          <w:sz w:val="24"/>
          <w:szCs w:val="24"/>
        </w:rPr>
        <w:t>, depending on the desires of the parties. A cultural use agreement is not statutorily defined in Maine, or in any state</w:t>
      </w:r>
      <w:r w:rsidR="009938D1">
        <w:rPr>
          <w:rFonts w:ascii="Bookman Old Style" w:hAnsi="Bookman Old Style"/>
          <w:sz w:val="24"/>
          <w:szCs w:val="24"/>
        </w:rPr>
        <w:t xml:space="preserve"> to my knowledge</w:t>
      </w:r>
      <w:r w:rsidR="00596E0C">
        <w:rPr>
          <w:rFonts w:ascii="Bookman Old Style" w:hAnsi="Bookman Old Style"/>
          <w:sz w:val="24"/>
          <w:szCs w:val="24"/>
        </w:rPr>
        <w:t xml:space="preserve">. Rather, it is </w:t>
      </w:r>
      <w:proofErr w:type="gramStart"/>
      <w:r w:rsidR="00596E0C">
        <w:rPr>
          <w:rFonts w:ascii="Bookman Old Style" w:hAnsi="Bookman Old Style"/>
          <w:sz w:val="24"/>
          <w:szCs w:val="24"/>
        </w:rPr>
        <w:t>similar to</w:t>
      </w:r>
      <w:proofErr w:type="gramEnd"/>
      <w:r w:rsidR="00596E0C">
        <w:rPr>
          <w:rFonts w:ascii="Bookman Old Style" w:hAnsi="Bookman Old Style"/>
          <w:sz w:val="24"/>
          <w:szCs w:val="24"/>
        </w:rPr>
        <w:t xml:space="preserve"> a license or a permit, and is guided by the law of contracts. </w:t>
      </w:r>
      <w:r w:rsidR="00FC046C">
        <w:rPr>
          <w:rFonts w:ascii="Bookman Old Style" w:hAnsi="Bookman Old Style"/>
          <w:sz w:val="24"/>
          <w:szCs w:val="24"/>
        </w:rPr>
        <w:t>There is no federal or state statutory impediment to land trusts entering into cultural use agreements with Indigenous Tribes or nonprofits.</w:t>
      </w:r>
    </w:p>
    <w:p w14:paraId="3D92351A" w14:textId="77777777" w:rsidR="00FC046C" w:rsidRDefault="00FC046C" w:rsidP="00745249">
      <w:pPr>
        <w:rPr>
          <w:rFonts w:ascii="Bookman Old Style" w:hAnsi="Bookman Old Style"/>
          <w:sz w:val="24"/>
          <w:szCs w:val="24"/>
        </w:rPr>
      </w:pPr>
    </w:p>
    <w:p w14:paraId="03847505" w14:textId="7FBDB0D6" w:rsidR="008742A6" w:rsidRDefault="005C6142" w:rsidP="00745249">
      <w:pPr>
        <w:rPr>
          <w:rFonts w:ascii="Bookman Old Style" w:hAnsi="Bookman Old Style"/>
          <w:sz w:val="24"/>
          <w:szCs w:val="24"/>
        </w:rPr>
      </w:pPr>
      <w:r>
        <w:rPr>
          <w:rFonts w:ascii="Bookman Old Style" w:hAnsi="Bookman Old Style"/>
          <w:sz w:val="24"/>
          <w:szCs w:val="24"/>
        </w:rPr>
        <w:t xml:space="preserve">A cultural use agreement is a good tool for a land trust that wants to continue to own a parcel of </w:t>
      </w:r>
      <w:proofErr w:type="gramStart"/>
      <w:r>
        <w:rPr>
          <w:rFonts w:ascii="Bookman Old Style" w:hAnsi="Bookman Old Style"/>
          <w:sz w:val="24"/>
          <w:szCs w:val="24"/>
        </w:rPr>
        <w:t>land, but</w:t>
      </w:r>
      <w:proofErr w:type="gramEnd"/>
      <w:r>
        <w:rPr>
          <w:rFonts w:ascii="Bookman Old Style" w:hAnsi="Bookman Old Style"/>
          <w:sz w:val="24"/>
          <w:szCs w:val="24"/>
        </w:rPr>
        <w:t xml:space="preserve"> wishes to open it up for access for Indigenous-related uses. </w:t>
      </w:r>
      <w:r w:rsidR="00596E0C">
        <w:rPr>
          <w:rFonts w:ascii="Bookman Old Style" w:hAnsi="Bookman Old Style"/>
          <w:sz w:val="24"/>
          <w:szCs w:val="24"/>
        </w:rPr>
        <w:t>On Cape Cod, the Dennis Conservation Trust has use</w:t>
      </w:r>
      <w:r w:rsidR="009938D1">
        <w:rPr>
          <w:rFonts w:ascii="Bookman Old Style" w:hAnsi="Bookman Old Style"/>
          <w:sz w:val="24"/>
          <w:szCs w:val="24"/>
        </w:rPr>
        <w:t>d</w:t>
      </w:r>
      <w:r w:rsidR="00596E0C">
        <w:rPr>
          <w:rFonts w:ascii="Bookman Old Style" w:hAnsi="Bookman Old Style"/>
          <w:sz w:val="24"/>
          <w:szCs w:val="24"/>
        </w:rPr>
        <w:t xml:space="preserve"> the cultural use agreement tool as a way of </w:t>
      </w:r>
      <w:r w:rsidR="009938D1">
        <w:rPr>
          <w:rFonts w:ascii="Bookman Old Style" w:hAnsi="Bookman Old Style"/>
          <w:sz w:val="24"/>
          <w:szCs w:val="24"/>
        </w:rPr>
        <w:t xml:space="preserve">guaranteeing access to </w:t>
      </w:r>
      <w:r w:rsidR="008F03B9">
        <w:rPr>
          <w:rFonts w:ascii="Bookman Old Style" w:hAnsi="Bookman Old Style"/>
          <w:sz w:val="24"/>
          <w:szCs w:val="24"/>
        </w:rPr>
        <w:t xml:space="preserve">some of its preserves to </w:t>
      </w:r>
      <w:r w:rsidR="009938D1">
        <w:rPr>
          <w:rFonts w:ascii="Bookman Old Style" w:hAnsi="Bookman Old Style"/>
          <w:sz w:val="24"/>
          <w:szCs w:val="24"/>
        </w:rPr>
        <w:t xml:space="preserve">the Native Land Conservancy, another Massachusetts nonprofit organization. Similarly, </w:t>
      </w:r>
      <w:r w:rsidR="008F03B9">
        <w:rPr>
          <w:rFonts w:ascii="Bookman Old Style" w:hAnsi="Bookman Old Style"/>
          <w:sz w:val="24"/>
          <w:szCs w:val="24"/>
        </w:rPr>
        <w:t xml:space="preserve">a Maine affiliate of </w:t>
      </w:r>
      <w:r w:rsidR="009938D1">
        <w:rPr>
          <w:rFonts w:ascii="Bookman Old Style" w:hAnsi="Bookman Old Style"/>
          <w:sz w:val="24"/>
          <w:szCs w:val="24"/>
        </w:rPr>
        <w:t xml:space="preserve">the Appalachian Mountain Club </w:t>
      </w:r>
      <w:r w:rsidR="008F03B9">
        <w:rPr>
          <w:rFonts w:ascii="Bookman Old Style" w:hAnsi="Bookman Old Style"/>
          <w:sz w:val="24"/>
          <w:szCs w:val="24"/>
        </w:rPr>
        <w:t xml:space="preserve">has created a Brown Ash Permit to authorize Tribal individuals or groups to engage in the sustainable harvesting of brown ash. </w:t>
      </w:r>
      <w:proofErr w:type="gramStart"/>
      <w:r w:rsidR="008F03B9">
        <w:rPr>
          <w:rFonts w:ascii="Bookman Old Style" w:hAnsi="Bookman Old Style"/>
          <w:sz w:val="24"/>
          <w:szCs w:val="24"/>
        </w:rPr>
        <w:t>Both of these</w:t>
      </w:r>
      <w:proofErr w:type="gramEnd"/>
      <w:r w:rsidR="008F03B9">
        <w:rPr>
          <w:rFonts w:ascii="Bookman Old Style" w:hAnsi="Bookman Old Style"/>
          <w:sz w:val="24"/>
          <w:szCs w:val="24"/>
        </w:rPr>
        <w:t xml:space="preserve"> examples are posted on the </w:t>
      </w:r>
      <w:hyperlink r:id="rId11" w:history="1">
        <w:r w:rsidR="008F03B9" w:rsidRPr="0033021E">
          <w:rPr>
            <w:rStyle w:val="Hyperlink"/>
            <w:rFonts w:ascii="Bookman Old Style" w:hAnsi="Bookman Old Style"/>
            <w:sz w:val="24"/>
            <w:szCs w:val="24"/>
          </w:rPr>
          <w:t>First Light website</w:t>
        </w:r>
      </w:hyperlink>
      <w:r w:rsidR="008F03B9">
        <w:rPr>
          <w:rFonts w:ascii="Bookman Old Style" w:hAnsi="Bookman Old Style"/>
          <w:sz w:val="24"/>
          <w:szCs w:val="24"/>
        </w:rPr>
        <w:t>.</w:t>
      </w:r>
      <w:r w:rsidR="00FC046C">
        <w:rPr>
          <w:rFonts w:ascii="Bookman Old Style" w:hAnsi="Bookman Old Style"/>
          <w:sz w:val="24"/>
          <w:szCs w:val="24"/>
        </w:rPr>
        <w:t xml:space="preserve"> First Light is also working on a cultural use template and hopes to have it posted soon. </w:t>
      </w:r>
    </w:p>
    <w:p w14:paraId="5131B421" w14:textId="54A57AD2" w:rsidR="008F03B9" w:rsidRDefault="008F03B9" w:rsidP="00745249">
      <w:pPr>
        <w:rPr>
          <w:rFonts w:ascii="Bookman Old Style" w:hAnsi="Bookman Old Style"/>
          <w:sz w:val="24"/>
          <w:szCs w:val="24"/>
        </w:rPr>
      </w:pPr>
    </w:p>
    <w:p w14:paraId="6B65A267" w14:textId="3B0571DC" w:rsidR="008F03B9" w:rsidRPr="008F03B9" w:rsidRDefault="008F03B9" w:rsidP="00745249">
      <w:pPr>
        <w:rPr>
          <w:rFonts w:ascii="Bookman Old Style" w:hAnsi="Bookman Old Style"/>
          <w:sz w:val="24"/>
          <w:szCs w:val="24"/>
        </w:rPr>
      </w:pPr>
      <w:r>
        <w:rPr>
          <w:rFonts w:ascii="Bookman Old Style" w:hAnsi="Bookman Old Style"/>
          <w:sz w:val="24"/>
          <w:szCs w:val="24"/>
        </w:rPr>
        <w:t xml:space="preserve">Now that I have </w:t>
      </w:r>
      <w:r w:rsidR="002F3739">
        <w:rPr>
          <w:rFonts w:ascii="Bookman Old Style" w:hAnsi="Bookman Old Style"/>
          <w:sz w:val="24"/>
          <w:szCs w:val="24"/>
        </w:rPr>
        <w:t xml:space="preserve">broken down the nomenclature and </w:t>
      </w:r>
      <w:r>
        <w:rPr>
          <w:rFonts w:ascii="Bookman Old Style" w:hAnsi="Bookman Old Style"/>
          <w:sz w:val="24"/>
          <w:szCs w:val="24"/>
        </w:rPr>
        <w:t xml:space="preserve">separately categorized these different terms, it’s important to recognize that there </w:t>
      </w:r>
      <w:r w:rsidR="00FC046C">
        <w:rPr>
          <w:rFonts w:ascii="Bookman Old Style" w:hAnsi="Bookman Old Style"/>
          <w:sz w:val="24"/>
          <w:szCs w:val="24"/>
        </w:rPr>
        <w:t xml:space="preserve">can be </w:t>
      </w:r>
      <w:r>
        <w:rPr>
          <w:rFonts w:ascii="Bookman Old Style" w:hAnsi="Bookman Old Style"/>
          <w:sz w:val="24"/>
          <w:szCs w:val="24"/>
        </w:rPr>
        <w:t xml:space="preserve">some blending of the concepts and tools. For example, in recent years, conservation easements are being drafted </w:t>
      </w:r>
      <w:proofErr w:type="gramStart"/>
      <w:r>
        <w:rPr>
          <w:rFonts w:ascii="Bookman Old Style" w:hAnsi="Bookman Old Style"/>
          <w:sz w:val="24"/>
          <w:szCs w:val="24"/>
        </w:rPr>
        <w:t>so as to</w:t>
      </w:r>
      <w:proofErr w:type="gramEnd"/>
      <w:r>
        <w:rPr>
          <w:rFonts w:ascii="Bookman Old Style" w:hAnsi="Bookman Old Style"/>
          <w:sz w:val="24"/>
          <w:szCs w:val="24"/>
        </w:rPr>
        <w:t xml:space="preserve"> expressly allow certain Indigenous-related access uses. Maine Coast Heritage Trust’s conservation easement template, updated regularly and posted on the </w:t>
      </w:r>
      <w:hyperlink r:id="rId12" w:history="1">
        <w:r w:rsidRPr="0033021E">
          <w:rPr>
            <w:rStyle w:val="Hyperlink"/>
            <w:rFonts w:ascii="Bookman Old Style" w:hAnsi="Bookman Old Style"/>
            <w:sz w:val="24"/>
            <w:szCs w:val="24"/>
          </w:rPr>
          <w:t>MLTN website</w:t>
        </w:r>
      </w:hyperlink>
      <w:r>
        <w:rPr>
          <w:rFonts w:ascii="Bookman Old Style" w:hAnsi="Bookman Old Style"/>
          <w:sz w:val="24"/>
          <w:szCs w:val="24"/>
        </w:rPr>
        <w:t xml:space="preserve">, includes such language. Another step up from </w:t>
      </w:r>
      <w:r>
        <w:rPr>
          <w:rFonts w:ascii="Bookman Old Style" w:hAnsi="Bookman Old Style"/>
          <w:i/>
          <w:iCs/>
          <w:sz w:val="24"/>
          <w:szCs w:val="24"/>
        </w:rPr>
        <w:t>allowing</w:t>
      </w:r>
      <w:r>
        <w:rPr>
          <w:rFonts w:ascii="Bookman Old Style" w:hAnsi="Bookman Old Style"/>
          <w:sz w:val="24"/>
          <w:szCs w:val="24"/>
        </w:rPr>
        <w:t xml:space="preserve"> cultural harvesting uses in a conservation easement would be to </w:t>
      </w:r>
      <w:r w:rsidR="005C6142">
        <w:rPr>
          <w:rFonts w:ascii="Bookman Old Style" w:hAnsi="Bookman Old Style"/>
          <w:i/>
          <w:iCs/>
          <w:sz w:val="24"/>
          <w:szCs w:val="24"/>
        </w:rPr>
        <w:t>guarantee</w:t>
      </w:r>
      <w:r w:rsidR="005C6142">
        <w:rPr>
          <w:rFonts w:ascii="Bookman Old Style" w:hAnsi="Bookman Old Style"/>
          <w:sz w:val="24"/>
          <w:szCs w:val="24"/>
        </w:rPr>
        <w:t xml:space="preserve"> access for such uses, </w:t>
      </w:r>
      <w:proofErr w:type="gramStart"/>
      <w:r w:rsidR="005C6142">
        <w:rPr>
          <w:rFonts w:ascii="Bookman Old Style" w:hAnsi="Bookman Old Style"/>
          <w:sz w:val="24"/>
          <w:szCs w:val="24"/>
        </w:rPr>
        <w:t>similar to</w:t>
      </w:r>
      <w:proofErr w:type="gramEnd"/>
      <w:r w:rsidR="005C6142">
        <w:rPr>
          <w:rFonts w:ascii="Bookman Old Style" w:hAnsi="Bookman Old Style"/>
          <w:sz w:val="24"/>
          <w:szCs w:val="24"/>
        </w:rPr>
        <w:t xml:space="preserve"> a conservation easement that guarantees access for recreational uses, either along a trail or on the entire protected property. I’m not aware of any conservation easement that has taken this step, although there’s no reason it couldn’t be done. Conversely, a</w:t>
      </w:r>
      <w:r w:rsidR="005C6142" w:rsidRPr="005C6142">
        <w:rPr>
          <w:rFonts w:ascii="Bookman Old Style" w:hAnsi="Bookman Old Style"/>
          <w:sz w:val="24"/>
          <w:szCs w:val="24"/>
        </w:rPr>
        <w:t xml:space="preserve">lthough the focus of a cultural use agreement is on access to a specific cultural resource or parcel of land, </w:t>
      </w:r>
      <w:r w:rsidR="005C6142">
        <w:rPr>
          <w:rFonts w:ascii="Bookman Old Style" w:hAnsi="Bookman Old Style"/>
          <w:sz w:val="24"/>
          <w:szCs w:val="24"/>
        </w:rPr>
        <w:t>the document</w:t>
      </w:r>
      <w:r w:rsidR="005C6142" w:rsidRPr="005C6142">
        <w:rPr>
          <w:rFonts w:ascii="Bookman Old Style" w:hAnsi="Bookman Old Style"/>
          <w:sz w:val="24"/>
          <w:szCs w:val="24"/>
        </w:rPr>
        <w:t xml:space="preserve"> may also include </w:t>
      </w:r>
      <w:r w:rsidR="005C6142" w:rsidRPr="005C6142">
        <w:rPr>
          <w:rFonts w:ascii="Bookman Old Style" w:hAnsi="Bookman Old Style"/>
          <w:sz w:val="24"/>
          <w:szCs w:val="24"/>
        </w:rPr>
        <w:lastRenderedPageBreak/>
        <w:t>certain protections of the resource</w:t>
      </w:r>
      <w:r w:rsidR="005C6142">
        <w:rPr>
          <w:rFonts w:ascii="Bookman Old Style" w:hAnsi="Bookman Old Style"/>
          <w:sz w:val="24"/>
          <w:szCs w:val="24"/>
        </w:rPr>
        <w:t>, and in this sense would have elements of a conservation easement, even if it’s not styled or defined as such</w:t>
      </w:r>
      <w:r w:rsidR="005C6142" w:rsidRPr="005C6142">
        <w:rPr>
          <w:rFonts w:ascii="Bookman Old Style" w:hAnsi="Bookman Old Style"/>
          <w:sz w:val="24"/>
          <w:szCs w:val="24"/>
        </w:rPr>
        <w:t>.</w:t>
      </w:r>
    </w:p>
    <w:p w14:paraId="44964751" w14:textId="77777777" w:rsidR="004330F9" w:rsidRPr="004330F9" w:rsidRDefault="004330F9" w:rsidP="000543F3">
      <w:pPr>
        <w:rPr>
          <w:rFonts w:ascii="Bookman Old Style" w:hAnsi="Bookman Old Style"/>
          <w:sz w:val="24"/>
          <w:szCs w:val="24"/>
        </w:rPr>
      </w:pPr>
    </w:p>
    <w:p w14:paraId="0000000F" w14:textId="60B32372" w:rsidR="008B0757" w:rsidRDefault="00F64CAC" w:rsidP="00F87463">
      <w:pPr>
        <w:numPr>
          <w:ilvl w:val="0"/>
          <w:numId w:val="1"/>
        </w:numPr>
        <w:ind w:left="360"/>
        <w:rPr>
          <w:rFonts w:ascii="Bookman Old Style" w:hAnsi="Bookman Old Style"/>
          <w:sz w:val="24"/>
          <w:szCs w:val="24"/>
        </w:rPr>
      </w:pPr>
      <w:r w:rsidRPr="00680CD6">
        <w:rPr>
          <w:rFonts w:ascii="Bookman Old Style" w:hAnsi="Bookman Old Style"/>
          <w:b/>
          <w:sz w:val="24"/>
          <w:szCs w:val="24"/>
        </w:rPr>
        <w:t>Perceived Barrier:</w:t>
      </w:r>
      <w:r w:rsidRPr="00680CD6">
        <w:rPr>
          <w:rFonts w:ascii="Bookman Old Style" w:hAnsi="Bookman Old Style"/>
          <w:sz w:val="24"/>
          <w:szCs w:val="24"/>
        </w:rPr>
        <w:t xml:space="preserve"> Some land trusts worry that if their activities do not directly increase the number or acreage of conservation easements, they are in violation of their mission (</w:t>
      </w:r>
      <w:proofErr w:type="gramStart"/>
      <w:r w:rsidRPr="00680CD6">
        <w:rPr>
          <w:rFonts w:ascii="Bookman Old Style" w:hAnsi="Bookman Old Style"/>
          <w:sz w:val="24"/>
          <w:szCs w:val="24"/>
        </w:rPr>
        <w:t>e.g.</w:t>
      </w:r>
      <w:proofErr w:type="gramEnd"/>
      <w:r w:rsidRPr="00680CD6">
        <w:rPr>
          <w:rFonts w:ascii="Bookman Old Style" w:hAnsi="Bookman Old Style"/>
          <w:sz w:val="24"/>
          <w:szCs w:val="24"/>
        </w:rPr>
        <w:t xml:space="preserve"> if they buy land that </w:t>
      </w:r>
      <w:r w:rsidRPr="00680CD6">
        <w:rPr>
          <w:rFonts w:ascii="Bookman Old Style" w:hAnsi="Bookman Old Style"/>
          <w:i/>
          <w:sz w:val="24"/>
          <w:szCs w:val="24"/>
        </w:rPr>
        <w:t>already</w:t>
      </w:r>
      <w:r w:rsidRPr="00680CD6">
        <w:rPr>
          <w:rFonts w:ascii="Bookman Old Style" w:hAnsi="Bookman Old Style"/>
          <w:sz w:val="24"/>
          <w:szCs w:val="24"/>
        </w:rPr>
        <w:t xml:space="preserve"> has a conservation easement to give to </w:t>
      </w:r>
      <w:r w:rsidR="003041EE">
        <w:rPr>
          <w:rFonts w:ascii="Bookman Old Style" w:hAnsi="Bookman Old Style"/>
          <w:sz w:val="24"/>
          <w:szCs w:val="24"/>
        </w:rPr>
        <w:t>T</w:t>
      </w:r>
      <w:r w:rsidRPr="00680CD6">
        <w:rPr>
          <w:rFonts w:ascii="Bookman Old Style" w:hAnsi="Bookman Old Style"/>
          <w:sz w:val="24"/>
          <w:szCs w:val="24"/>
        </w:rPr>
        <w:t xml:space="preserve">ribes; if they buy land to give to </w:t>
      </w:r>
      <w:r w:rsidR="003041EE">
        <w:rPr>
          <w:rFonts w:ascii="Bookman Old Style" w:hAnsi="Bookman Old Style"/>
          <w:sz w:val="24"/>
          <w:szCs w:val="24"/>
        </w:rPr>
        <w:t>T</w:t>
      </w:r>
      <w:r w:rsidRPr="00680CD6">
        <w:rPr>
          <w:rFonts w:ascii="Bookman Old Style" w:hAnsi="Bookman Old Style"/>
          <w:sz w:val="24"/>
          <w:szCs w:val="24"/>
        </w:rPr>
        <w:t>ribes without instating a conservation easement).</w:t>
      </w:r>
    </w:p>
    <w:p w14:paraId="64E5DBA0" w14:textId="77777777" w:rsidR="00702858" w:rsidRPr="00680CD6" w:rsidRDefault="00702858" w:rsidP="00F87463">
      <w:pPr>
        <w:rPr>
          <w:rFonts w:ascii="Bookman Old Style" w:hAnsi="Bookman Old Style"/>
          <w:sz w:val="24"/>
          <w:szCs w:val="24"/>
        </w:rPr>
      </w:pPr>
    </w:p>
    <w:p w14:paraId="00000010" w14:textId="5D25267A" w:rsidR="008B0757" w:rsidRPr="00702858" w:rsidRDefault="00F64CAC" w:rsidP="00F87463">
      <w:pPr>
        <w:ind w:left="360"/>
        <w:rPr>
          <w:rFonts w:ascii="Bookman Old Style" w:hAnsi="Bookman Old Style"/>
          <w:b/>
          <w:sz w:val="24"/>
          <w:szCs w:val="24"/>
        </w:rPr>
      </w:pPr>
      <w:r w:rsidRPr="00680CD6">
        <w:rPr>
          <w:rFonts w:ascii="Bookman Old Style" w:hAnsi="Bookman Old Style"/>
          <w:b/>
          <w:sz w:val="24"/>
          <w:szCs w:val="24"/>
        </w:rPr>
        <w:t xml:space="preserve">Question: </w:t>
      </w:r>
      <w:r w:rsidRPr="00680CD6">
        <w:rPr>
          <w:rFonts w:ascii="Bookman Old Style" w:hAnsi="Bookman Old Style"/>
          <w:sz w:val="24"/>
          <w:szCs w:val="24"/>
        </w:rPr>
        <w:t>Is there a legal mandate for land trusts to increase the overall number or acreage of conservation easements?</w:t>
      </w:r>
      <w:r w:rsidRPr="00680CD6">
        <w:rPr>
          <w:rFonts w:ascii="Bookman Old Style" w:hAnsi="Bookman Old Style"/>
          <w:b/>
          <w:sz w:val="24"/>
          <w:szCs w:val="24"/>
        </w:rPr>
        <w:t xml:space="preserve"> </w:t>
      </w:r>
      <w:r w:rsidRPr="00680CD6">
        <w:rPr>
          <w:rFonts w:ascii="Bookman Old Style" w:hAnsi="Bookman Old Style"/>
          <w:sz w:val="24"/>
          <w:szCs w:val="24"/>
        </w:rPr>
        <w:t xml:space="preserve">Are land trusts acting against their bylaws or mission when they don’t use fundraising to directly add more conservation easements to more land area? And: is there any legal reason why a land trust cannot convey land to a </w:t>
      </w:r>
      <w:r w:rsidR="003041EE">
        <w:rPr>
          <w:rFonts w:ascii="Bookman Old Style" w:hAnsi="Bookman Old Style"/>
          <w:sz w:val="24"/>
          <w:szCs w:val="24"/>
        </w:rPr>
        <w:t>T</w:t>
      </w:r>
      <w:r w:rsidRPr="00680CD6">
        <w:rPr>
          <w:rFonts w:ascii="Bookman Old Style" w:hAnsi="Bookman Old Style"/>
          <w:sz w:val="24"/>
          <w:szCs w:val="24"/>
        </w:rPr>
        <w:t>ribe when it does not have a conservation easement?</w:t>
      </w:r>
    </w:p>
    <w:p w14:paraId="5B624370" w14:textId="63C1FF38" w:rsidR="00702858" w:rsidRDefault="00702858" w:rsidP="00702858">
      <w:pPr>
        <w:rPr>
          <w:rFonts w:ascii="Bookman Old Style" w:hAnsi="Bookman Old Style"/>
          <w:b/>
          <w:sz w:val="24"/>
          <w:szCs w:val="24"/>
        </w:rPr>
      </w:pPr>
    </w:p>
    <w:p w14:paraId="2468F7E3" w14:textId="462EC54D" w:rsidR="00702858" w:rsidRPr="00702858" w:rsidRDefault="00BA7E1D" w:rsidP="00702858">
      <w:pPr>
        <w:rPr>
          <w:rFonts w:ascii="Bookman Old Style" w:hAnsi="Bookman Old Style"/>
          <w:bCs/>
          <w:sz w:val="24"/>
          <w:szCs w:val="24"/>
        </w:rPr>
      </w:pPr>
      <w:r w:rsidRPr="00BA7E1D">
        <w:rPr>
          <w:rFonts w:ascii="Bookman Old Style" w:hAnsi="Bookman Old Style"/>
          <w:b/>
          <w:sz w:val="24"/>
          <w:szCs w:val="24"/>
        </w:rPr>
        <w:t>Rob Levin Reply:</w:t>
      </w:r>
      <w:r>
        <w:rPr>
          <w:rFonts w:ascii="Bookman Old Style" w:hAnsi="Bookman Old Style"/>
          <w:bCs/>
          <w:sz w:val="24"/>
          <w:szCs w:val="24"/>
        </w:rPr>
        <w:t xml:space="preserve"> </w:t>
      </w:r>
      <w:r w:rsidR="00702858">
        <w:rPr>
          <w:rFonts w:ascii="Bookman Old Style" w:hAnsi="Bookman Old Style"/>
          <w:bCs/>
          <w:sz w:val="24"/>
          <w:szCs w:val="24"/>
        </w:rPr>
        <w:t xml:space="preserve">As stated above, most if not all land trusts have </w:t>
      </w:r>
      <w:r w:rsidR="00F87463">
        <w:rPr>
          <w:rFonts w:ascii="Bookman Old Style" w:hAnsi="Bookman Old Style"/>
          <w:bCs/>
          <w:sz w:val="24"/>
          <w:szCs w:val="24"/>
        </w:rPr>
        <w:t xml:space="preserve">Articles and Bylaws that set forth </w:t>
      </w:r>
      <w:r w:rsidR="00702858">
        <w:rPr>
          <w:rFonts w:ascii="Bookman Old Style" w:hAnsi="Bookman Old Style"/>
          <w:bCs/>
          <w:sz w:val="24"/>
          <w:szCs w:val="24"/>
        </w:rPr>
        <w:t xml:space="preserve">a general charitable purpose and a more specific purpose centered around some combination of conservation, education, and recreation. Even with this more specific purpose in mind, it is not the case that every activity or project must increase the number of acres under conservation protection. That is an unduly narrow understanding of a purpose statement. That said, if a land trust did want to engage in a land back project but was concerned about its purposes being too narrow, it is a relatively simple step to amend the purpose statement in the Articles and Bylaws to add a purpose around social justice for Indigenous communities.  </w:t>
      </w:r>
    </w:p>
    <w:p w14:paraId="4CD562A6" w14:textId="77777777" w:rsidR="00702858" w:rsidRPr="00680CD6" w:rsidRDefault="00702858" w:rsidP="00702858">
      <w:pPr>
        <w:rPr>
          <w:rFonts w:ascii="Bookman Old Style" w:hAnsi="Bookman Old Style"/>
          <w:b/>
          <w:sz w:val="24"/>
          <w:szCs w:val="24"/>
        </w:rPr>
      </w:pPr>
    </w:p>
    <w:p w14:paraId="00000011" w14:textId="56078940" w:rsidR="008B0757" w:rsidRPr="00680CD6" w:rsidRDefault="00F64CAC" w:rsidP="00702858">
      <w:pPr>
        <w:numPr>
          <w:ilvl w:val="0"/>
          <w:numId w:val="1"/>
        </w:numPr>
        <w:ind w:left="360"/>
        <w:rPr>
          <w:rFonts w:ascii="Bookman Old Style" w:hAnsi="Bookman Old Style"/>
          <w:sz w:val="24"/>
          <w:szCs w:val="24"/>
        </w:rPr>
      </w:pPr>
      <w:r w:rsidRPr="00680CD6">
        <w:rPr>
          <w:rFonts w:ascii="Bookman Old Style" w:hAnsi="Bookman Old Style"/>
          <w:b/>
          <w:sz w:val="24"/>
          <w:szCs w:val="24"/>
        </w:rPr>
        <w:t>Perceived Barrier:</w:t>
      </w:r>
      <w:r w:rsidRPr="00680CD6">
        <w:rPr>
          <w:rFonts w:ascii="Bookman Old Style" w:hAnsi="Bookman Old Style"/>
          <w:sz w:val="24"/>
          <w:szCs w:val="24"/>
        </w:rPr>
        <w:t xml:space="preserve"> Land trusts have contacts that could be leveraged for community-led or Indigenous-led fundraising around land return and </w:t>
      </w:r>
      <w:proofErr w:type="spellStart"/>
      <w:r w:rsidRPr="00680CD6">
        <w:rPr>
          <w:rFonts w:ascii="Bookman Old Style" w:hAnsi="Bookman Old Style"/>
          <w:sz w:val="24"/>
          <w:szCs w:val="24"/>
        </w:rPr>
        <w:t>rematriation</w:t>
      </w:r>
      <w:proofErr w:type="spellEnd"/>
      <w:r w:rsidRPr="00680CD6">
        <w:rPr>
          <w:rFonts w:ascii="Bookman Old Style" w:hAnsi="Bookman Old Style"/>
          <w:sz w:val="24"/>
          <w:szCs w:val="24"/>
        </w:rPr>
        <w:t xml:space="preserve"> </w:t>
      </w:r>
      <w:proofErr w:type="gramStart"/>
      <w:r w:rsidRPr="00680CD6">
        <w:rPr>
          <w:rFonts w:ascii="Bookman Old Style" w:hAnsi="Bookman Old Style"/>
          <w:sz w:val="24"/>
          <w:szCs w:val="24"/>
        </w:rPr>
        <w:t>projects, but</w:t>
      </w:r>
      <w:proofErr w:type="gramEnd"/>
      <w:r w:rsidRPr="00680CD6">
        <w:rPr>
          <w:rFonts w:ascii="Bookman Old Style" w:hAnsi="Bookman Old Style"/>
          <w:sz w:val="24"/>
          <w:szCs w:val="24"/>
        </w:rPr>
        <w:t xml:space="preserve"> worry about the legal issues around leveraging these contacts for projects outside of the land trust’s own work.</w:t>
      </w:r>
    </w:p>
    <w:p w14:paraId="567F17A8" w14:textId="77777777" w:rsidR="00F87463" w:rsidRDefault="00F87463" w:rsidP="00F87463">
      <w:pPr>
        <w:ind w:left="360"/>
        <w:rPr>
          <w:rFonts w:ascii="Bookman Old Style" w:hAnsi="Bookman Old Style"/>
          <w:b/>
          <w:sz w:val="24"/>
          <w:szCs w:val="24"/>
        </w:rPr>
      </w:pPr>
    </w:p>
    <w:p w14:paraId="00000012" w14:textId="4353305B" w:rsidR="008B0757" w:rsidRDefault="00F64CAC" w:rsidP="00F87463">
      <w:pPr>
        <w:ind w:left="360"/>
        <w:rPr>
          <w:rFonts w:ascii="Bookman Old Style" w:hAnsi="Bookman Old Style"/>
          <w:sz w:val="24"/>
          <w:szCs w:val="24"/>
        </w:rPr>
      </w:pPr>
      <w:r w:rsidRPr="00680CD6">
        <w:rPr>
          <w:rFonts w:ascii="Bookman Old Style" w:hAnsi="Bookman Old Style"/>
          <w:b/>
          <w:sz w:val="24"/>
          <w:szCs w:val="24"/>
        </w:rPr>
        <w:t>Question:</w:t>
      </w:r>
      <w:r w:rsidRPr="00680CD6">
        <w:rPr>
          <w:rFonts w:ascii="Bookman Old Style" w:hAnsi="Bookman Old Style"/>
          <w:sz w:val="24"/>
          <w:szCs w:val="24"/>
        </w:rPr>
        <w:t xml:space="preserve"> Can land trusts financially participate in land </w:t>
      </w:r>
      <w:proofErr w:type="spellStart"/>
      <w:r w:rsidRPr="00680CD6">
        <w:rPr>
          <w:rFonts w:ascii="Bookman Old Style" w:hAnsi="Bookman Old Style"/>
          <w:sz w:val="24"/>
          <w:szCs w:val="24"/>
        </w:rPr>
        <w:t>rematriation</w:t>
      </w:r>
      <w:proofErr w:type="spellEnd"/>
      <w:r w:rsidRPr="00680CD6">
        <w:rPr>
          <w:rFonts w:ascii="Bookman Old Style" w:hAnsi="Bookman Old Style"/>
          <w:sz w:val="24"/>
          <w:szCs w:val="24"/>
        </w:rPr>
        <w:t xml:space="preserve"> projects that the land trust is not directly facilitating– such </w:t>
      </w:r>
      <w:r w:rsidR="0057790A" w:rsidRPr="00680CD6">
        <w:rPr>
          <w:rFonts w:ascii="Bookman Old Style" w:hAnsi="Bookman Old Style"/>
          <w:sz w:val="24"/>
          <w:szCs w:val="24"/>
        </w:rPr>
        <w:t>as community</w:t>
      </w:r>
      <w:r w:rsidRPr="00680CD6">
        <w:rPr>
          <w:rFonts w:ascii="Bookman Old Style" w:hAnsi="Bookman Old Style"/>
          <w:sz w:val="24"/>
          <w:szCs w:val="24"/>
        </w:rPr>
        <w:t>-led fundraising or Indigenous-led fundraising? What are the legal issues around doing that?</w:t>
      </w:r>
    </w:p>
    <w:p w14:paraId="3877FD94" w14:textId="5594DD94" w:rsidR="00F87463" w:rsidRDefault="00F87463" w:rsidP="004C5D9B">
      <w:pPr>
        <w:rPr>
          <w:rFonts w:ascii="Bookman Old Style" w:hAnsi="Bookman Old Style"/>
          <w:sz w:val="24"/>
          <w:szCs w:val="24"/>
        </w:rPr>
      </w:pPr>
    </w:p>
    <w:p w14:paraId="4B055301" w14:textId="5A2EF6F4" w:rsidR="004C5D9B" w:rsidRPr="004C5D9B" w:rsidRDefault="004C5D9B" w:rsidP="004C5D9B">
      <w:pPr>
        <w:rPr>
          <w:rFonts w:ascii="Bookman Old Style" w:hAnsi="Bookman Old Style"/>
          <w:sz w:val="24"/>
          <w:szCs w:val="24"/>
        </w:rPr>
      </w:pPr>
      <w:r>
        <w:rPr>
          <w:rFonts w:ascii="Bookman Old Style" w:hAnsi="Bookman Old Style"/>
          <w:b/>
          <w:bCs/>
          <w:sz w:val="24"/>
          <w:szCs w:val="24"/>
        </w:rPr>
        <w:lastRenderedPageBreak/>
        <w:t>Rob Levin Reply:</w:t>
      </w:r>
      <w:r>
        <w:rPr>
          <w:rFonts w:ascii="Bookman Old Style" w:hAnsi="Bookman Old Style"/>
          <w:sz w:val="24"/>
          <w:szCs w:val="24"/>
        </w:rPr>
        <w:t xml:space="preserve"> Yes, land trusts can help with fundraising or technical advice or other means of support for projects that are not housed within the land trust itself. Land trusts provide this kind of assistance all the time in a variety of contexts, and Indigenous-focused projects are no exception. </w:t>
      </w:r>
      <w:r w:rsidR="00681945">
        <w:rPr>
          <w:rFonts w:ascii="Bookman Old Style" w:hAnsi="Bookman Old Style"/>
          <w:sz w:val="24"/>
          <w:szCs w:val="24"/>
        </w:rPr>
        <w:t>The land trust will want to be careful to make sure it is honoring any confidentiality obligations with respect to its donors. That said, there is no general prohibition against a 501(c)</w:t>
      </w:r>
      <w:r w:rsidR="00821231">
        <w:rPr>
          <w:rFonts w:ascii="Bookman Old Style" w:hAnsi="Bookman Old Style"/>
          <w:sz w:val="24"/>
          <w:szCs w:val="24"/>
        </w:rPr>
        <w:t>(3)</w:t>
      </w:r>
      <w:r w:rsidR="00681945">
        <w:rPr>
          <w:rFonts w:ascii="Bookman Old Style" w:hAnsi="Bookman Old Style"/>
          <w:sz w:val="24"/>
          <w:szCs w:val="24"/>
        </w:rPr>
        <w:t xml:space="preserve"> land trust </w:t>
      </w:r>
      <w:proofErr w:type="gramStart"/>
      <w:r w:rsidR="00157152">
        <w:rPr>
          <w:rFonts w:ascii="Bookman Old Style" w:hAnsi="Bookman Old Style"/>
          <w:sz w:val="24"/>
          <w:szCs w:val="24"/>
        </w:rPr>
        <w:t>offering assistance</w:t>
      </w:r>
      <w:proofErr w:type="gramEnd"/>
      <w:r w:rsidR="00157152">
        <w:rPr>
          <w:rFonts w:ascii="Bookman Old Style" w:hAnsi="Bookman Old Style"/>
          <w:sz w:val="24"/>
          <w:szCs w:val="24"/>
        </w:rPr>
        <w:t xml:space="preserve"> outside of its core functions. I suppose there could be a scenario where if a land trust’s programming evolved so that it was exclusively or mostly working in this support role, there would be a mismatch between its purposes and its activities. But even then, a simple change to the purpose statement would resolve that mismatch as a legal matter, and then it’s just a question of what kinds of projects the land trust’s members, staff, and directors want to focus their energy on. </w:t>
      </w:r>
    </w:p>
    <w:p w14:paraId="1CF58214" w14:textId="77777777" w:rsidR="004C5D9B" w:rsidRPr="00680CD6" w:rsidRDefault="004C5D9B" w:rsidP="004C5D9B">
      <w:pPr>
        <w:rPr>
          <w:rFonts w:ascii="Bookman Old Style" w:hAnsi="Bookman Old Style"/>
          <w:sz w:val="24"/>
          <w:szCs w:val="24"/>
        </w:rPr>
      </w:pPr>
    </w:p>
    <w:p w14:paraId="00000013" w14:textId="484BA588" w:rsidR="008B0757" w:rsidRPr="00680CD6" w:rsidRDefault="00F64CAC" w:rsidP="00702858">
      <w:pPr>
        <w:numPr>
          <w:ilvl w:val="0"/>
          <w:numId w:val="1"/>
        </w:numPr>
        <w:ind w:left="360"/>
        <w:rPr>
          <w:rFonts w:ascii="Bookman Old Style" w:hAnsi="Bookman Old Style"/>
          <w:sz w:val="24"/>
          <w:szCs w:val="24"/>
        </w:rPr>
      </w:pPr>
      <w:r w:rsidRPr="00680CD6">
        <w:rPr>
          <w:rFonts w:ascii="Bookman Old Style" w:hAnsi="Bookman Old Style"/>
          <w:b/>
          <w:sz w:val="24"/>
          <w:szCs w:val="24"/>
        </w:rPr>
        <w:t xml:space="preserve">Perceived Barrier: </w:t>
      </w:r>
      <w:r w:rsidRPr="00680CD6">
        <w:rPr>
          <w:rFonts w:ascii="Bookman Old Style" w:hAnsi="Bookman Old Style"/>
          <w:sz w:val="24"/>
          <w:szCs w:val="24"/>
        </w:rPr>
        <w:t xml:space="preserve">When land trusts dissolve, they transfer their land holdings to other land trusts or private </w:t>
      </w:r>
      <w:r w:rsidR="0057790A" w:rsidRPr="00680CD6">
        <w:rPr>
          <w:rFonts w:ascii="Bookman Old Style" w:hAnsi="Bookman Old Style"/>
          <w:sz w:val="24"/>
          <w:szCs w:val="24"/>
        </w:rPr>
        <w:t>agencies and</w:t>
      </w:r>
      <w:r w:rsidRPr="00680CD6">
        <w:rPr>
          <w:rFonts w:ascii="Bookman Old Style" w:hAnsi="Bookman Old Style"/>
          <w:sz w:val="24"/>
          <w:szCs w:val="24"/>
        </w:rPr>
        <w:t xml:space="preserve"> claim they cannot transfer to Indigenous entities </w:t>
      </w:r>
      <w:proofErr w:type="gramStart"/>
      <w:r w:rsidRPr="00680CD6">
        <w:rPr>
          <w:rFonts w:ascii="Bookman Old Style" w:hAnsi="Bookman Old Style"/>
          <w:sz w:val="24"/>
          <w:szCs w:val="24"/>
        </w:rPr>
        <w:t>on the basis of</w:t>
      </w:r>
      <w:proofErr w:type="gramEnd"/>
      <w:r w:rsidRPr="00680CD6">
        <w:rPr>
          <w:rFonts w:ascii="Bookman Old Style" w:hAnsi="Bookman Old Style"/>
          <w:sz w:val="24"/>
          <w:szCs w:val="24"/>
        </w:rPr>
        <w:t xml:space="preserve"> private inurement.</w:t>
      </w:r>
    </w:p>
    <w:p w14:paraId="22875AC0" w14:textId="77777777" w:rsidR="00F87463" w:rsidRDefault="00F87463" w:rsidP="00F87463">
      <w:pPr>
        <w:ind w:left="360"/>
        <w:rPr>
          <w:rFonts w:ascii="Bookman Old Style" w:hAnsi="Bookman Old Style"/>
          <w:b/>
          <w:sz w:val="24"/>
          <w:szCs w:val="24"/>
        </w:rPr>
      </w:pPr>
    </w:p>
    <w:p w14:paraId="00000014" w14:textId="301EB854" w:rsidR="008B0757" w:rsidRPr="00680CD6" w:rsidRDefault="00F64CAC" w:rsidP="00F87463">
      <w:pPr>
        <w:ind w:left="360"/>
        <w:rPr>
          <w:rFonts w:ascii="Bookman Old Style" w:hAnsi="Bookman Old Style"/>
          <w:b/>
          <w:sz w:val="24"/>
          <w:szCs w:val="24"/>
        </w:rPr>
      </w:pPr>
      <w:r w:rsidRPr="00680CD6">
        <w:rPr>
          <w:rFonts w:ascii="Bookman Old Style" w:hAnsi="Bookman Old Style"/>
          <w:b/>
          <w:sz w:val="24"/>
          <w:szCs w:val="24"/>
        </w:rPr>
        <w:t xml:space="preserve">Question: </w:t>
      </w:r>
      <w:r w:rsidRPr="00680CD6">
        <w:rPr>
          <w:rFonts w:ascii="Bookman Old Style" w:hAnsi="Bookman Old Style"/>
          <w:sz w:val="24"/>
          <w:szCs w:val="24"/>
        </w:rPr>
        <w:t xml:space="preserve">If a land trust ceases to exist, are there any legal obstacles to transferring its land to a </w:t>
      </w:r>
      <w:r w:rsidR="003041EE">
        <w:rPr>
          <w:rFonts w:ascii="Bookman Old Style" w:hAnsi="Bookman Old Style"/>
          <w:sz w:val="24"/>
          <w:szCs w:val="24"/>
        </w:rPr>
        <w:t>T</w:t>
      </w:r>
      <w:r w:rsidRPr="00680CD6">
        <w:rPr>
          <w:rFonts w:ascii="Bookman Old Style" w:hAnsi="Bookman Old Style"/>
          <w:sz w:val="24"/>
          <w:szCs w:val="24"/>
        </w:rPr>
        <w:t>ribal government or Indigenous 501(c)3?</w:t>
      </w:r>
    </w:p>
    <w:p w14:paraId="0383FB3D" w14:textId="1841306F" w:rsidR="00F87463" w:rsidRDefault="00F87463" w:rsidP="00F87463">
      <w:pPr>
        <w:ind w:left="360"/>
        <w:rPr>
          <w:rFonts w:ascii="Bookman Old Style" w:hAnsi="Bookman Old Style"/>
          <w:sz w:val="24"/>
          <w:szCs w:val="24"/>
        </w:rPr>
      </w:pPr>
    </w:p>
    <w:p w14:paraId="2C0BC135" w14:textId="0B0D0C96" w:rsidR="00B300D1" w:rsidRDefault="00BA7E1D" w:rsidP="00E62D31">
      <w:pPr>
        <w:rPr>
          <w:rFonts w:ascii="Bookman Old Style" w:hAnsi="Bookman Old Style"/>
          <w:sz w:val="24"/>
          <w:szCs w:val="24"/>
        </w:rPr>
      </w:pPr>
      <w:r w:rsidRPr="00BA7E1D">
        <w:rPr>
          <w:rFonts w:ascii="Bookman Old Style" w:hAnsi="Bookman Old Style"/>
          <w:b/>
          <w:bCs/>
          <w:sz w:val="24"/>
          <w:szCs w:val="24"/>
        </w:rPr>
        <w:t>Rob Levin Reply:</w:t>
      </w:r>
      <w:r>
        <w:rPr>
          <w:rFonts w:ascii="Bookman Old Style" w:hAnsi="Bookman Old Style"/>
          <w:sz w:val="24"/>
          <w:szCs w:val="24"/>
        </w:rPr>
        <w:t xml:space="preserve"> </w:t>
      </w:r>
      <w:r w:rsidR="00B300D1">
        <w:rPr>
          <w:rFonts w:ascii="Bookman Old Style" w:hAnsi="Bookman Old Style"/>
          <w:sz w:val="24"/>
          <w:szCs w:val="24"/>
        </w:rPr>
        <w:t>Under longstanding IRS requirement, a 501(c)(3) organization’s Articles and Bylaws must include a specific provision addressing what happens to the organization’s assets in the event of a dissolution.</w:t>
      </w:r>
      <w:r>
        <w:rPr>
          <w:rStyle w:val="FootnoteReference"/>
          <w:rFonts w:ascii="Bookman Old Style" w:hAnsi="Bookman Old Style"/>
          <w:sz w:val="24"/>
          <w:szCs w:val="24"/>
        </w:rPr>
        <w:footnoteReference w:id="14"/>
      </w:r>
      <w:r w:rsidR="00B300D1">
        <w:rPr>
          <w:rFonts w:ascii="Bookman Old Style" w:hAnsi="Bookman Old Style"/>
          <w:sz w:val="24"/>
          <w:szCs w:val="24"/>
        </w:rPr>
        <w:t xml:space="preserve"> The typical formulation </w:t>
      </w:r>
      <w:r w:rsidR="00262E86">
        <w:rPr>
          <w:rFonts w:ascii="Bookman Old Style" w:hAnsi="Bookman Old Style"/>
          <w:sz w:val="24"/>
          <w:szCs w:val="24"/>
        </w:rPr>
        <w:t>reads</w:t>
      </w:r>
      <w:r w:rsidR="00B300D1">
        <w:rPr>
          <w:rFonts w:ascii="Bookman Old Style" w:hAnsi="Bookman Old Style"/>
          <w:sz w:val="24"/>
          <w:szCs w:val="24"/>
        </w:rPr>
        <w:t xml:space="preserve"> as follows:</w:t>
      </w:r>
    </w:p>
    <w:p w14:paraId="46A35E7B" w14:textId="77777777" w:rsidR="00B300D1" w:rsidRDefault="00B300D1" w:rsidP="00F87463">
      <w:pPr>
        <w:ind w:left="360"/>
        <w:rPr>
          <w:rFonts w:ascii="Bookman Old Style" w:hAnsi="Bookman Old Style"/>
          <w:sz w:val="24"/>
          <w:szCs w:val="24"/>
        </w:rPr>
      </w:pPr>
    </w:p>
    <w:p w14:paraId="2D73100C" w14:textId="29771A55" w:rsidR="00B300D1" w:rsidRDefault="00B300D1" w:rsidP="00E62D31">
      <w:pPr>
        <w:ind w:left="720"/>
        <w:rPr>
          <w:rFonts w:ascii="Bookman Old Style" w:hAnsi="Bookman Old Style"/>
          <w:sz w:val="24"/>
          <w:szCs w:val="24"/>
        </w:rPr>
      </w:pPr>
      <w:r>
        <w:rPr>
          <w:rFonts w:ascii="Bookman Old Style" w:hAnsi="Bookman Old Style"/>
          <w:sz w:val="24"/>
          <w:szCs w:val="24"/>
        </w:rPr>
        <w:t>“</w:t>
      </w:r>
      <w:r w:rsidR="00262E86" w:rsidRPr="00262E86">
        <w:rPr>
          <w:rFonts w:ascii="Bookman Old Style" w:hAnsi="Bookman Old Style"/>
          <w:sz w:val="24"/>
          <w:szCs w:val="24"/>
        </w:rPr>
        <w:t>Upon the dissolution of the corporation, assets shall be distributed for one or more exempt purposes within the meaning of section 501(c)(3) of the Internal Revenue Code, or the corresponding section of any future federal tax code, or shall be distributed to the federal government, or to a state or local government, for a public purpose.</w:t>
      </w:r>
      <w:r w:rsidR="00262E86">
        <w:rPr>
          <w:rFonts w:ascii="Bookman Old Style" w:hAnsi="Bookman Old Style"/>
          <w:sz w:val="24"/>
          <w:szCs w:val="24"/>
        </w:rPr>
        <w:t>”</w:t>
      </w:r>
      <w:r>
        <w:rPr>
          <w:rFonts w:ascii="Bookman Old Style" w:hAnsi="Bookman Old Style"/>
          <w:sz w:val="24"/>
          <w:szCs w:val="24"/>
        </w:rPr>
        <w:t xml:space="preserve"> </w:t>
      </w:r>
    </w:p>
    <w:p w14:paraId="653A6FE9" w14:textId="77777777" w:rsidR="00262E86" w:rsidRDefault="00262E86" w:rsidP="00262E86">
      <w:pPr>
        <w:ind w:left="360"/>
        <w:rPr>
          <w:rFonts w:ascii="Bookman Old Style" w:hAnsi="Bookman Old Style"/>
          <w:sz w:val="24"/>
          <w:szCs w:val="24"/>
        </w:rPr>
      </w:pPr>
    </w:p>
    <w:p w14:paraId="7AD002F7" w14:textId="72B6518D" w:rsidR="00262E86" w:rsidRDefault="00262E86" w:rsidP="00E62D31">
      <w:pPr>
        <w:rPr>
          <w:rFonts w:ascii="Bookman Old Style" w:hAnsi="Bookman Old Style"/>
          <w:sz w:val="24"/>
          <w:szCs w:val="24"/>
        </w:rPr>
      </w:pPr>
      <w:r>
        <w:rPr>
          <w:rFonts w:ascii="Bookman Old Style" w:hAnsi="Bookman Old Style"/>
          <w:sz w:val="24"/>
          <w:szCs w:val="24"/>
        </w:rPr>
        <w:t xml:space="preserve">The good news is that under I.R.C. </w:t>
      </w:r>
      <w:r>
        <w:rPr>
          <w:rFonts w:ascii="Times New Roman" w:hAnsi="Times New Roman" w:cs="Times New Roman"/>
          <w:sz w:val="24"/>
          <w:szCs w:val="24"/>
        </w:rPr>
        <w:t>§</w:t>
      </w:r>
      <w:r>
        <w:rPr>
          <w:rFonts w:ascii="Bookman Old Style" w:hAnsi="Bookman Old Style"/>
          <w:sz w:val="24"/>
          <w:szCs w:val="24"/>
        </w:rPr>
        <w:t xml:space="preserve">7871, any Federally Recognized Tribe is treated as a state government for most income tax purposes, and that treatment extends to being eligible to serve as a grantee of a dissolving 501(c)(3) </w:t>
      </w:r>
      <w:r>
        <w:rPr>
          <w:rFonts w:ascii="Bookman Old Style" w:hAnsi="Bookman Old Style"/>
          <w:sz w:val="24"/>
          <w:szCs w:val="24"/>
        </w:rPr>
        <w:lastRenderedPageBreak/>
        <w:t xml:space="preserve">organization’s assets in the event of dissolution. </w:t>
      </w:r>
      <w:r w:rsidR="00BA7E1D">
        <w:rPr>
          <w:rFonts w:ascii="Bookman Old Style" w:hAnsi="Bookman Old Style"/>
          <w:sz w:val="24"/>
          <w:szCs w:val="24"/>
        </w:rPr>
        <w:t xml:space="preserve">Likewise, any 501(c)(3) organization established by a </w:t>
      </w:r>
      <w:r w:rsidR="003041EE">
        <w:rPr>
          <w:rFonts w:ascii="Bookman Old Style" w:hAnsi="Bookman Old Style"/>
          <w:sz w:val="24"/>
          <w:szCs w:val="24"/>
        </w:rPr>
        <w:t>T</w:t>
      </w:r>
      <w:r w:rsidR="00BA7E1D">
        <w:rPr>
          <w:rFonts w:ascii="Bookman Old Style" w:hAnsi="Bookman Old Style"/>
          <w:sz w:val="24"/>
          <w:szCs w:val="24"/>
        </w:rPr>
        <w:t xml:space="preserve">ribal </w:t>
      </w:r>
      <w:r w:rsidR="0057790A">
        <w:rPr>
          <w:rFonts w:ascii="Bookman Old Style" w:hAnsi="Bookman Old Style"/>
          <w:sz w:val="24"/>
          <w:szCs w:val="24"/>
        </w:rPr>
        <w:t>government,</w:t>
      </w:r>
      <w:r w:rsidR="00BA7E1D">
        <w:rPr>
          <w:rFonts w:ascii="Bookman Old Style" w:hAnsi="Bookman Old Style"/>
          <w:sz w:val="24"/>
          <w:szCs w:val="24"/>
        </w:rPr>
        <w:t xml:space="preserve"> or a </w:t>
      </w:r>
      <w:r w:rsidR="003041EE">
        <w:rPr>
          <w:rFonts w:ascii="Bookman Old Style" w:hAnsi="Bookman Old Style"/>
          <w:sz w:val="24"/>
          <w:szCs w:val="24"/>
        </w:rPr>
        <w:t>T</w:t>
      </w:r>
      <w:r w:rsidR="00BA7E1D">
        <w:rPr>
          <w:rFonts w:ascii="Bookman Old Style" w:hAnsi="Bookman Old Style"/>
          <w:sz w:val="24"/>
          <w:szCs w:val="24"/>
        </w:rPr>
        <w:t xml:space="preserve">ribal entity of any kind will also be eligible under this language. Thus, </w:t>
      </w:r>
      <w:proofErr w:type="gramStart"/>
      <w:r w:rsidR="00BA7E1D">
        <w:rPr>
          <w:rFonts w:ascii="Bookman Old Style" w:hAnsi="Bookman Old Style"/>
          <w:sz w:val="24"/>
          <w:szCs w:val="24"/>
        </w:rPr>
        <w:t>as long as</w:t>
      </w:r>
      <w:proofErr w:type="gramEnd"/>
      <w:r w:rsidR="00BA7E1D">
        <w:rPr>
          <w:rFonts w:ascii="Bookman Old Style" w:hAnsi="Bookman Old Style"/>
          <w:sz w:val="24"/>
          <w:szCs w:val="24"/>
        </w:rPr>
        <w:t xml:space="preserve"> a land trust is using the standard dissolution provision or a close version of it, then no changes to Articles or Bylaws are needed in order to allow for the transfer of assets to a Federally Recognized Tribe or to an Indigenous-affiliated 501(c)(3) organization. </w:t>
      </w:r>
    </w:p>
    <w:p w14:paraId="3AB7DE90" w14:textId="3AE2028B" w:rsidR="00BA7E1D" w:rsidRDefault="00BA7E1D" w:rsidP="00262E86">
      <w:pPr>
        <w:ind w:left="360"/>
        <w:rPr>
          <w:rFonts w:ascii="Bookman Old Style" w:hAnsi="Bookman Old Style"/>
          <w:sz w:val="24"/>
          <w:szCs w:val="24"/>
        </w:rPr>
      </w:pPr>
    </w:p>
    <w:p w14:paraId="0B886C3C" w14:textId="7077850B" w:rsidR="00BA7E1D" w:rsidRDefault="00BA7E1D" w:rsidP="00E62D31">
      <w:pPr>
        <w:rPr>
          <w:rFonts w:ascii="Bookman Old Style" w:hAnsi="Bookman Old Style"/>
          <w:sz w:val="24"/>
          <w:szCs w:val="24"/>
        </w:rPr>
      </w:pPr>
      <w:r>
        <w:rPr>
          <w:rFonts w:ascii="Bookman Old Style" w:hAnsi="Bookman Old Style"/>
          <w:sz w:val="24"/>
          <w:szCs w:val="24"/>
        </w:rPr>
        <w:t xml:space="preserve">Then again, if a land trust wanted to be more specific or </w:t>
      </w:r>
      <w:r w:rsidR="00456FED">
        <w:rPr>
          <w:rFonts w:ascii="Bookman Old Style" w:hAnsi="Bookman Old Style"/>
          <w:sz w:val="24"/>
          <w:szCs w:val="24"/>
        </w:rPr>
        <w:t xml:space="preserve">suggestive </w:t>
      </w:r>
      <w:r>
        <w:rPr>
          <w:rFonts w:ascii="Bookman Old Style" w:hAnsi="Bookman Old Style"/>
          <w:sz w:val="24"/>
          <w:szCs w:val="24"/>
        </w:rPr>
        <w:t xml:space="preserve">on this </w:t>
      </w:r>
      <w:r w:rsidR="00456FED">
        <w:rPr>
          <w:rFonts w:ascii="Bookman Old Style" w:hAnsi="Bookman Old Style"/>
          <w:sz w:val="24"/>
          <w:szCs w:val="24"/>
        </w:rPr>
        <w:t>issue</w:t>
      </w:r>
      <w:r>
        <w:rPr>
          <w:rFonts w:ascii="Bookman Old Style" w:hAnsi="Bookman Old Style"/>
          <w:sz w:val="24"/>
          <w:szCs w:val="24"/>
        </w:rPr>
        <w:t xml:space="preserve">, it could certainly amend its </w:t>
      </w:r>
      <w:r w:rsidR="00456FED">
        <w:rPr>
          <w:rFonts w:ascii="Bookman Old Style" w:hAnsi="Bookman Old Style"/>
          <w:sz w:val="24"/>
          <w:szCs w:val="24"/>
        </w:rPr>
        <w:t>Articles and Bylaws to expressly mention Federally Recognized Tribes as eligible grantees. In that case, the provision could read as follows:</w:t>
      </w:r>
    </w:p>
    <w:p w14:paraId="4C81627C" w14:textId="716D3F3F" w:rsidR="00456FED" w:rsidRDefault="00456FED" w:rsidP="00262E86">
      <w:pPr>
        <w:ind w:left="360"/>
        <w:rPr>
          <w:rFonts w:ascii="Bookman Old Style" w:hAnsi="Bookman Old Style"/>
          <w:sz w:val="24"/>
          <w:szCs w:val="24"/>
        </w:rPr>
      </w:pPr>
    </w:p>
    <w:p w14:paraId="07204B67" w14:textId="68D560B7" w:rsidR="00456FED" w:rsidRDefault="00456FED" w:rsidP="00262E86">
      <w:pPr>
        <w:ind w:left="360"/>
        <w:rPr>
          <w:rFonts w:ascii="Bookman Old Style" w:hAnsi="Bookman Old Style"/>
          <w:sz w:val="24"/>
          <w:szCs w:val="24"/>
        </w:rPr>
      </w:pPr>
      <w:r>
        <w:rPr>
          <w:rFonts w:ascii="Bookman Old Style" w:hAnsi="Bookman Old Style"/>
          <w:sz w:val="24"/>
          <w:szCs w:val="24"/>
        </w:rPr>
        <w:t>“</w:t>
      </w:r>
      <w:r w:rsidRPr="00262E86">
        <w:rPr>
          <w:rFonts w:ascii="Bookman Old Style" w:hAnsi="Bookman Old Style"/>
          <w:sz w:val="24"/>
          <w:szCs w:val="24"/>
        </w:rPr>
        <w:t xml:space="preserve">Upon the dissolution of the corporation, assets shall be distributed for one or more exempt purposes within the meaning of section 501(c)(3) of the Internal Revenue Code, or the corresponding section of any future federal tax code, or shall be distributed to the federal government, or to a </w:t>
      </w:r>
      <w:r>
        <w:rPr>
          <w:rFonts w:ascii="Bookman Old Style" w:hAnsi="Bookman Old Style"/>
          <w:sz w:val="24"/>
          <w:szCs w:val="24"/>
        </w:rPr>
        <w:t xml:space="preserve">Federally Recognized Tribal government or </w:t>
      </w:r>
      <w:r w:rsidRPr="00262E86">
        <w:rPr>
          <w:rFonts w:ascii="Bookman Old Style" w:hAnsi="Bookman Old Style"/>
          <w:sz w:val="24"/>
          <w:szCs w:val="24"/>
        </w:rPr>
        <w:t>state</w:t>
      </w:r>
      <w:r>
        <w:rPr>
          <w:rFonts w:ascii="Bookman Old Style" w:hAnsi="Bookman Old Style"/>
          <w:sz w:val="24"/>
          <w:szCs w:val="24"/>
        </w:rPr>
        <w:t xml:space="preserve"> or</w:t>
      </w:r>
      <w:r w:rsidRPr="00262E86">
        <w:rPr>
          <w:rFonts w:ascii="Bookman Old Style" w:hAnsi="Bookman Old Style"/>
          <w:sz w:val="24"/>
          <w:szCs w:val="24"/>
        </w:rPr>
        <w:t xml:space="preserve"> local government, for a public purpose.</w:t>
      </w:r>
      <w:r>
        <w:rPr>
          <w:rFonts w:ascii="Bookman Old Style" w:hAnsi="Bookman Old Style"/>
          <w:sz w:val="24"/>
          <w:szCs w:val="24"/>
        </w:rPr>
        <w:t>”</w:t>
      </w:r>
    </w:p>
    <w:p w14:paraId="573F22B8" w14:textId="77777777" w:rsidR="00456FED" w:rsidRDefault="00456FED" w:rsidP="00262E86">
      <w:pPr>
        <w:ind w:left="360"/>
        <w:rPr>
          <w:rFonts w:ascii="Bookman Old Style" w:hAnsi="Bookman Old Style"/>
          <w:sz w:val="24"/>
          <w:szCs w:val="24"/>
        </w:rPr>
      </w:pPr>
    </w:p>
    <w:p w14:paraId="2C60D46D" w14:textId="221CBF3E" w:rsidR="00B300D1" w:rsidRDefault="00456FED" w:rsidP="00E62D31">
      <w:pPr>
        <w:rPr>
          <w:rFonts w:ascii="Bookman Old Style" w:hAnsi="Bookman Old Style"/>
          <w:sz w:val="24"/>
          <w:szCs w:val="24"/>
        </w:rPr>
      </w:pPr>
      <w:r>
        <w:rPr>
          <w:rFonts w:ascii="Bookman Old Style" w:hAnsi="Bookman Old Style"/>
          <w:sz w:val="24"/>
          <w:szCs w:val="24"/>
        </w:rPr>
        <w:t xml:space="preserve">I generally don’t recommend identifying specific transferees in the dissolution provision, because circumstances might be quite different 50 or 100 years down the road when a dissolution might occur. Thus, an organization or governmental entity that seems like a natural transferee now might no longer be so in the distant future. </w:t>
      </w:r>
      <w:proofErr w:type="gramStart"/>
      <w:r w:rsidR="005E1E8E">
        <w:rPr>
          <w:rFonts w:ascii="Bookman Old Style" w:hAnsi="Bookman Old Style"/>
          <w:sz w:val="24"/>
          <w:szCs w:val="24"/>
        </w:rPr>
        <w:t>In order to</w:t>
      </w:r>
      <w:proofErr w:type="gramEnd"/>
      <w:r w:rsidR="005E1E8E">
        <w:rPr>
          <w:rFonts w:ascii="Bookman Old Style" w:hAnsi="Bookman Old Style"/>
          <w:sz w:val="24"/>
          <w:szCs w:val="24"/>
        </w:rPr>
        <w:t xml:space="preserve"> balance commitment to land return with uncertainty around which entities may exist in the future, land trusts could consider specifying that asset distribution choices will be made </w:t>
      </w:r>
      <w:r w:rsidR="00FF5992">
        <w:rPr>
          <w:rFonts w:ascii="Bookman Old Style" w:hAnsi="Bookman Old Style"/>
          <w:sz w:val="24"/>
          <w:szCs w:val="24"/>
        </w:rPr>
        <w:t xml:space="preserve">in consultation </w:t>
      </w:r>
      <w:r w:rsidR="001A1D98">
        <w:rPr>
          <w:rFonts w:ascii="Bookman Old Style" w:hAnsi="Bookman Old Style"/>
          <w:sz w:val="24"/>
          <w:szCs w:val="24"/>
        </w:rPr>
        <w:t xml:space="preserve">with </w:t>
      </w:r>
      <w:r w:rsidR="00FF5992">
        <w:rPr>
          <w:rFonts w:ascii="Bookman Old Style" w:hAnsi="Bookman Old Style"/>
          <w:sz w:val="24"/>
          <w:szCs w:val="24"/>
        </w:rPr>
        <w:t>and advisement from</w:t>
      </w:r>
      <w:r w:rsidR="005E1E8E">
        <w:rPr>
          <w:rFonts w:ascii="Bookman Old Style" w:hAnsi="Bookman Old Style"/>
          <w:sz w:val="24"/>
          <w:szCs w:val="24"/>
        </w:rPr>
        <w:t xml:space="preserve"> Federally Recognized Tribal governmen</w:t>
      </w:r>
      <w:r w:rsidR="00FF5992">
        <w:rPr>
          <w:rFonts w:ascii="Bookman Old Style" w:hAnsi="Bookman Old Style"/>
          <w:sz w:val="24"/>
          <w:szCs w:val="24"/>
        </w:rPr>
        <w:t>ts</w:t>
      </w:r>
      <w:r w:rsidR="005E1E8E">
        <w:rPr>
          <w:rFonts w:ascii="Bookman Old Style" w:hAnsi="Bookman Old Style"/>
          <w:sz w:val="24"/>
          <w:szCs w:val="24"/>
        </w:rPr>
        <w:t xml:space="preserve"> or Indigenous-affiliated 501(c)(3)</w:t>
      </w:r>
      <w:r w:rsidR="00FF5992">
        <w:rPr>
          <w:rFonts w:ascii="Bookman Old Style" w:hAnsi="Bookman Old Style"/>
          <w:sz w:val="24"/>
          <w:szCs w:val="24"/>
        </w:rPr>
        <w:t>s</w:t>
      </w:r>
      <w:r w:rsidR="005E1E8E">
        <w:rPr>
          <w:rFonts w:ascii="Bookman Old Style" w:hAnsi="Bookman Old Style"/>
          <w:sz w:val="24"/>
          <w:szCs w:val="24"/>
        </w:rPr>
        <w:t xml:space="preserve">, with the </w:t>
      </w:r>
      <w:r w:rsidR="00FF5992">
        <w:rPr>
          <w:rFonts w:ascii="Bookman Old Style" w:hAnsi="Bookman Old Style"/>
          <w:sz w:val="24"/>
          <w:szCs w:val="24"/>
        </w:rPr>
        <w:t>intention</w:t>
      </w:r>
      <w:r w:rsidR="005E1E8E">
        <w:rPr>
          <w:rFonts w:ascii="Bookman Old Style" w:hAnsi="Bookman Old Style"/>
          <w:sz w:val="24"/>
          <w:szCs w:val="24"/>
        </w:rPr>
        <w:t xml:space="preserve"> to distribute assets to </w:t>
      </w:r>
      <w:r w:rsidR="00FF5992">
        <w:rPr>
          <w:rFonts w:ascii="Bookman Old Style" w:hAnsi="Bookman Old Style"/>
          <w:sz w:val="24"/>
          <w:szCs w:val="24"/>
        </w:rPr>
        <w:t>governments or nonprofits in alignment with the needs and recommendations of these advisors.</w:t>
      </w:r>
      <w:r w:rsidR="001F4A10">
        <w:rPr>
          <w:rFonts w:ascii="Bookman Old Style" w:hAnsi="Bookman Old Style"/>
          <w:sz w:val="24"/>
          <w:szCs w:val="24"/>
        </w:rPr>
        <w:t xml:space="preserve"> For example, land-holding groups</w:t>
      </w:r>
      <w:r w:rsidR="001F4A10" w:rsidRPr="001F4A10">
        <w:t xml:space="preserve"> </w:t>
      </w:r>
      <w:r w:rsidR="001F4A10" w:rsidRPr="001F4A10">
        <w:rPr>
          <w:rFonts w:ascii="Bookman Old Style" w:hAnsi="Bookman Old Style"/>
          <w:sz w:val="24"/>
          <w:szCs w:val="24"/>
        </w:rPr>
        <w:t>in Maine</w:t>
      </w:r>
      <w:r w:rsidR="00052992">
        <w:rPr>
          <w:rFonts w:ascii="Bookman Old Style" w:hAnsi="Bookman Old Style"/>
          <w:sz w:val="24"/>
          <w:szCs w:val="24"/>
        </w:rPr>
        <w:t xml:space="preserve"> could </w:t>
      </w:r>
      <w:r w:rsidR="001A1D98">
        <w:rPr>
          <w:rFonts w:ascii="Bookman Old Style" w:hAnsi="Bookman Old Style"/>
          <w:sz w:val="24"/>
          <w:szCs w:val="24"/>
        </w:rPr>
        <w:t>offer</w:t>
      </w:r>
      <w:r w:rsidR="00052992">
        <w:rPr>
          <w:rFonts w:ascii="Bookman Old Style" w:hAnsi="Bookman Old Style"/>
          <w:sz w:val="24"/>
          <w:szCs w:val="24"/>
        </w:rPr>
        <w:t xml:space="preserve"> that opp</w:t>
      </w:r>
      <w:r w:rsidR="00275C2A">
        <w:rPr>
          <w:rFonts w:ascii="Bookman Old Style" w:hAnsi="Bookman Old Style"/>
          <w:sz w:val="24"/>
          <w:szCs w:val="24"/>
        </w:rPr>
        <w:t>o</w:t>
      </w:r>
      <w:r w:rsidR="00052992">
        <w:rPr>
          <w:rFonts w:ascii="Bookman Old Style" w:hAnsi="Bookman Old Style"/>
          <w:sz w:val="24"/>
          <w:szCs w:val="24"/>
        </w:rPr>
        <w:t>rtunity for review upon dissolution to t</w:t>
      </w:r>
      <w:r w:rsidR="001F4A10">
        <w:rPr>
          <w:rFonts w:ascii="Bookman Old Style" w:hAnsi="Bookman Old Style"/>
          <w:sz w:val="24"/>
          <w:szCs w:val="24"/>
        </w:rPr>
        <w:t>he Wabanaki Commission on Land</w:t>
      </w:r>
      <w:r w:rsidR="001A1D98">
        <w:rPr>
          <w:rFonts w:ascii="Bookman Old Style" w:hAnsi="Bookman Old Style"/>
          <w:sz w:val="24"/>
          <w:szCs w:val="24"/>
        </w:rPr>
        <w:t>,</w:t>
      </w:r>
      <w:r w:rsidR="001F4A10">
        <w:rPr>
          <w:rFonts w:ascii="Bookman Old Style" w:hAnsi="Bookman Old Style"/>
          <w:sz w:val="24"/>
          <w:szCs w:val="24"/>
        </w:rPr>
        <w:t xml:space="preserve"> </w:t>
      </w:r>
      <w:r w:rsidR="00052992">
        <w:rPr>
          <w:rFonts w:ascii="Bookman Old Style" w:hAnsi="Bookman Old Style"/>
          <w:sz w:val="24"/>
          <w:szCs w:val="24"/>
        </w:rPr>
        <w:t xml:space="preserve">which </w:t>
      </w:r>
      <w:r w:rsidR="001F4A10">
        <w:rPr>
          <w:rFonts w:ascii="Bookman Old Style" w:hAnsi="Bookman Old Style"/>
          <w:sz w:val="24"/>
          <w:szCs w:val="24"/>
        </w:rPr>
        <w:t>was spec</w:t>
      </w:r>
      <w:r w:rsidR="00D919E6">
        <w:rPr>
          <w:rFonts w:ascii="Bookman Old Style" w:hAnsi="Bookman Old Style"/>
          <w:sz w:val="24"/>
          <w:szCs w:val="24"/>
        </w:rPr>
        <w:t>i</w:t>
      </w:r>
      <w:r w:rsidR="001F4A10">
        <w:rPr>
          <w:rFonts w:ascii="Bookman Old Style" w:hAnsi="Bookman Old Style"/>
          <w:sz w:val="24"/>
          <w:szCs w:val="24"/>
        </w:rPr>
        <w:t xml:space="preserve">fically created to be a central place where </w:t>
      </w:r>
      <w:r w:rsidR="001A1D98">
        <w:rPr>
          <w:rFonts w:ascii="Bookman Old Style" w:hAnsi="Bookman Old Style"/>
          <w:sz w:val="24"/>
          <w:szCs w:val="24"/>
        </w:rPr>
        <w:t>five</w:t>
      </w:r>
      <w:r w:rsidR="001F4A10">
        <w:rPr>
          <w:rFonts w:ascii="Bookman Old Style" w:hAnsi="Bookman Old Style"/>
          <w:sz w:val="24"/>
          <w:szCs w:val="24"/>
        </w:rPr>
        <w:t xml:space="preserve"> Tribal communities will regu</w:t>
      </w:r>
      <w:r w:rsidR="00275C2A">
        <w:rPr>
          <w:rFonts w:ascii="Bookman Old Style" w:hAnsi="Bookman Old Style"/>
          <w:sz w:val="24"/>
          <w:szCs w:val="24"/>
        </w:rPr>
        <w:t>lar</w:t>
      </w:r>
      <w:r w:rsidR="001F4A10">
        <w:rPr>
          <w:rFonts w:ascii="Bookman Old Style" w:hAnsi="Bookman Old Style"/>
          <w:sz w:val="24"/>
          <w:szCs w:val="24"/>
        </w:rPr>
        <w:t>ly meet to make decisions about land</w:t>
      </w:r>
      <w:r w:rsidR="001A1D98">
        <w:rPr>
          <w:rFonts w:ascii="Bookman Old Style" w:hAnsi="Bookman Old Style"/>
          <w:sz w:val="24"/>
          <w:szCs w:val="24"/>
        </w:rPr>
        <w:t xml:space="preserve"> in Maine</w:t>
      </w:r>
      <w:r w:rsidR="001F4A10">
        <w:rPr>
          <w:rFonts w:ascii="Bookman Old Style" w:hAnsi="Bookman Old Style"/>
          <w:sz w:val="24"/>
          <w:szCs w:val="24"/>
        </w:rPr>
        <w:t>.</w:t>
      </w:r>
    </w:p>
    <w:p w14:paraId="0499BE19" w14:textId="77777777" w:rsidR="00456FED" w:rsidRPr="00F87463" w:rsidRDefault="00456FED" w:rsidP="00F87463">
      <w:pPr>
        <w:ind w:left="360"/>
        <w:rPr>
          <w:rFonts w:ascii="Bookman Old Style" w:hAnsi="Bookman Old Style"/>
          <w:sz w:val="24"/>
          <w:szCs w:val="24"/>
        </w:rPr>
      </w:pPr>
    </w:p>
    <w:p w14:paraId="00000015" w14:textId="0B48D073" w:rsidR="008B0757" w:rsidRPr="00680CD6" w:rsidRDefault="00F64CAC" w:rsidP="00702858">
      <w:pPr>
        <w:numPr>
          <w:ilvl w:val="0"/>
          <w:numId w:val="1"/>
        </w:numPr>
        <w:ind w:left="360"/>
        <w:rPr>
          <w:rFonts w:ascii="Bookman Old Style" w:hAnsi="Bookman Old Style"/>
          <w:sz w:val="24"/>
          <w:szCs w:val="24"/>
        </w:rPr>
      </w:pPr>
      <w:r w:rsidRPr="00680CD6">
        <w:rPr>
          <w:rFonts w:ascii="Bookman Old Style" w:hAnsi="Bookman Old Style"/>
          <w:b/>
          <w:sz w:val="24"/>
          <w:szCs w:val="24"/>
        </w:rPr>
        <w:t xml:space="preserve">Perceived Barrier: </w:t>
      </w:r>
      <w:r w:rsidRPr="00680CD6">
        <w:rPr>
          <w:rFonts w:ascii="Bookman Old Style" w:hAnsi="Bookman Old Style"/>
          <w:sz w:val="24"/>
          <w:szCs w:val="24"/>
        </w:rPr>
        <w:t xml:space="preserve">Land trusts are interested in developing Indigenous advisory councils to guide decision-making around cultural use, </w:t>
      </w:r>
      <w:r w:rsidR="0057790A" w:rsidRPr="00680CD6">
        <w:rPr>
          <w:rFonts w:ascii="Bookman Old Style" w:hAnsi="Bookman Old Style"/>
          <w:sz w:val="24"/>
          <w:szCs w:val="24"/>
        </w:rPr>
        <w:t>land back</w:t>
      </w:r>
      <w:r w:rsidRPr="00680CD6">
        <w:rPr>
          <w:rFonts w:ascii="Bookman Old Style" w:hAnsi="Bookman Old Style"/>
          <w:sz w:val="24"/>
          <w:szCs w:val="24"/>
        </w:rPr>
        <w:t xml:space="preserve">, and </w:t>
      </w:r>
      <w:proofErr w:type="spellStart"/>
      <w:r w:rsidRPr="00680CD6">
        <w:rPr>
          <w:rFonts w:ascii="Bookman Old Style" w:hAnsi="Bookman Old Style"/>
          <w:sz w:val="24"/>
          <w:szCs w:val="24"/>
        </w:rPr>
        <w:t>rematriation</w:t>
      </w:r>
      <w:proofErr w:type="spellEnd"/>
      <w:r w:rsidRPr="00680CD6">
        <w:rPr>
          <w:rFonts w:ascii="Bookman Old Style" w:hAnsi="Bookman Old Style"/>
          <w:sz w:val="24"/>
          <w:szCs w:val="24"/>
        </w:rPr>
        <w:t>.</w:t>
      </w:r>
    </w:p>
    <w:p w14:paraId="54019D24" w14:textId="77777777" w:rsidR="00F87463" w:rsidRDefault="00F87463" w:rsidP="00F87463">
      <w:pPr>
        <w:ind w:left="360"/>
        <w:rPr>
          <w:rFonts w:ascii="Bookman Old Style" w:hAnsi="Bookman Old Style"/>
          <w:b/>
          <w:sz w:val="24"/>
          <w:szCs w:val="24"/>
        </w:rPr>
      </w:pPr>
    </w:p>
    <w:p w14:paraId="00000016" w14:textId="5250171B" w:rsidR="008B0757" w:rsidRDefault="00F64CAC" w:rsidP="00F87463">
      <w:pPr>
        <w:ind w:left="360"/>
        <w:rPr>
          <w:rFonts w:ascii="Bookman Old Style" w:hAnsi="Bookman Old Style"/>
          <w:sz w:val="24"/>
          <w:szCs w:val="24"/>
        </w:rPr>
      </w:pPr>
      <w:r w:rsidRPr="00680CD6">
        <w:rPr>
          <w:rFonts w:ascii="Bookman Old Style" w:hAnsi="Bookman Old Style"/>
          <w:b/>
          <w:sz w:val="24"/>
          <w:szCs w:val="24"/>
        </w:rPr>
        <w:lastRenderedPageBreak/>
        <w:t xml:space="preserve">Question: </w:t>
      </w:r>
      <w:r w:rsidRPr="00680CD6">
        <w:rPr>
          <w:rFonts w:ascii="Bookman Old Style" w:hAnsi="Bookman Old Style"/>
          <w:sz w:val="24"/>
          <w:szCs w:val="24"/>
        </w:rPr>
        <w:t xml:space="preserve">What would the development of an advisory council mean for the definition of “insider” in these spaces, and thus concerns about private </w:t>
      </w:r>
      <w:r w:rsidR="00070811">
        <w:rPr>
          <w:rFonts w:ascii="Bookman Old Style" w:hAnsi="Bookman Old Style"/>
          <w:sz w:val="24"/>
          <w:szCs w:val="24"/>
        </w:rPr>
        <w:t>inurement</w:t>
      </w:r>
      <w:r w:rsidRPr="00680CD6">
        <w:rPr>
          <w:rFonts w:ascii="Bookman Old Style" w:hAnsi="Bookman Old Style"/>
          <w:sz w:val="24"/>
          <w:szCs w:val="24"/>
        </w:rPr>
        <w:t>?</w:t>
      </w:r>
    </w:p>
    <w:p w14:paraId="6593516E" w14:textId="77777777" w:rsidR="0032118F" w:rsidRDefault="0032118F" w:rsidP="00F87463">
      <w:pPr>
        <w:ind w:left="360"/>
        <w:rPr>
          <w:rFonts w:ascii="Bookman Old Style" w:hAnsi="Bookman Old Style"/>
          <w:sz w:val="24"/>
          <w:szCs w:val="24"/>
        </w:rPr>
      </w:pPr>
    </w:p>
    <w:p w14:paraId="0BB738BB" w14:textId="03C917D5" w:rsidR="005F3769" w:rsidRDefault="00E62D31" w:rsidP="00E62D31">
      <w:pPr>
        <w:rPr>
          <w:rFonts w:ascii="Bookman Old Style" w:hAnsi="Bookman Old Style"/>
          <w:bCs/>
          <w:sz w:val="24"/>
          <w:szCs w:val="24"/>
        </w:rPr>
      </w:pPr>
      <w:r>
        <w:rPr>
          <w:rFonts w:ascii="Bookman Old Style" w:hAnsi="Bookman Old Style"/>
          <w:b/>
          <w:sz w:val="24"/>
          <w:szCs w:val="24"/>
        </w:rPr>
        <w:t>Rob Levin Reply:</w:t>
      </w:r>
      <w:r>
        <w:rPr>
          <w:rFonts w:ascii="Bookman Old Style" w:hAnsi="Bookman Old Style"/>
          <w:bCs/>
          <w:sz w:val="24"/>
          <w:szCs w:val="24"/>
        </w:rPr>
        <w:t xml:space="preserve"> Conflict of interest issues are determined by state and federal law, as well as an organization’s Conflict of Interest Policy. </w:t>
      </w:r>
      <w:r w:rsidR="00D8640D">
        <w:rPr>
          <w:rFonts w:ascii="Bookman Old Style" w:hAnsi="Bookman Old Style"/>
          <w:bCs/>
          <w:sz w:val="24"/>
          <w:szCs w:val="24"/>
        </w:rPr>
        <w:t xml:space="preserve">Just because a conflict exists does not mean that that the transaction at issue cannot proceed. </w:t>
      </w:r>
      <w:r w:rsidR="00821231">
        <w:rPr>
          <w:rFonts w:ascii="Bookman Old Style" w:hAnsi="Bookman Old Style"/>
          <w:bCs/>
          <w:sz w:val="24"/>
          <w:szCs w:val="24"/>
        </w:rPr>
        <w:t xml:space="preserve">However, </w:t>
      </w:r>
      <w:r w:rsidR="00D8640D">
        <w:rPr>
          <w:rFonts w:ascii="Bookman Old Style" w:hAnsi="Bookman Old Style"/>
          <w:bCs/>
          <w:sz w:val="24"/>
          <w:szCs w:val="24"/>
        </w:rPr>
        <w:t xml:space="preserve">conflicts </w:t>
      </w:r>
      <w:proofErr w:type="gramStart"/>
      <w:r w:rsidR="00D8640D">
        <w:rPr>
          <w:rFonts w:ascii="Bookman Old Style" w:hAnsi="Bookman Old Style"/>
          <w:bCs/>
          <w:sz w:val="24"/>
          <w:szCs w:val="24"/>
        </w:rPr>
        <w:t>have to</w:t>
      </w:r>
      <w:proofErr w:type="gramEnd"/>
      <w:r w:rsidR="00D8640D">
        <w:rPr>
          <w:rFonts w:ascii="Bookman Old Style" w:hAnsi="Bookman Old Style"/>
          <w:bCs/>
          <w:sz w:val="24"/>
          <w:szCs w:val="24"/>
        </w:rPr>
        <w:t xml:space="preserve"> be recognized and addressed with transparency </w:t>
      </w:r>
      <w:r w:rsidR="005F3769">
        <w:rPr>
          <w:rFonts w:ascii="Bookman Old Style" w:hAnsi="Bookman Old Style"/>
          <w:bCs/>
          <w:sz w:val="24"/>
          <w:szCs w:val="24"/>
        </w:rPr>
        <w:t xml:space="preserve">and fairness </w:t>
      </w:r>
      <w:r w:rsidR="00D8640D">
        <w:rPr>
          <w:rFonts w:ascii="Bookman Old Style" w:hAnsi="Bookman Old Style"/>
          <w:bCs/>
          <w:sz w:val="24"/>
          <w:szCs w:val="24"/>
        </w:rPr>
        <w:t>depending on the kind of transaction at issue</w:t>
      </w:r>
      <w:r w:rsidR="005F3769">
        <w:rPr>
          <w:rFonts w:ascii="Bookman Old Style" w:hAnsi="Bookman Old Style"/>
          <w:bCs/>
          <w:sz w:val="24"/>
          <w:szCs w:val="24"/>
        </w:rPr>
        <w:t xml:space="preserve">. </w:t>
      </w:r>
    </w:p>
    <w:p w14:paraId="45DE004E" w14:textId="77777777" w:rsidR="005F3769" w:rsidRDefault="005F3769" w:rsidP="00E62D31">
      <w:pPr>
        <w:rPr>
          <w:rFonts w:ascii="Bookman Old Style" w:hAnsi="Bookman Old Style"/>
          <w:bCs/>
          <w:sz w:val="24"/>
          <w:szCs w:val="24"/>
        </w:rPr>
      </w:pPr>
    </w:p>
    <w:p w14:paraId="73A8CD26" w14:textId="32A80C9C" w:rsidR="00D8640D" w:rsidRDefault="005F3769" w:rsidP="00E62D31">
      <w:pPr>
        <w:rPr>
          <w:rFonts w:ascii="Bookman Old Style" w:hAnsi="Bookman Old Style"/>
          <w:bCs/>
          <w:sz w:val="24"/>
          <w:szCs w:val="24"/>
        </w:rPr>
      </w:pPr>
      <w:r>
        <w:rPr>
          <w:rFonts w:ascii="Bookman Old Style" w:hAnsi="Bookman Old Style"/>
          <w:bCs/>
          <w:sz w:val="24"/>
          <w:szCs w:val="24"/>
        </w:rPr>
        <w:t xml:space="preserve">There are two general kinds of conflict of interest: financial conflicts and commitment conflicts. A financial conflict is </w:t>
      </w:r>
      <w:r w:rsidR="00EC18F4">
        <w:rPr>
          <w:rFonts w:ascii="Bookman Old Style" w:hAnsi="Bookman Old Style"/>
          <w:bCs/>
          <w:sz w:val="24"/>
          <w:szCs w:val="24"/>
        </w:rPr>
        <w:t xml:space="preserve">when the conflicted individual stands to receive some sort of financial benefit from a transaction. A commitment conflict, in contrast, is one where an individual has a legal commitment to both sides of the transaction, e.g., serving as a land trust Board Director and a representative of an organization with which the land trust is proposing to purchase or convey a parcel of land. </w:t>
      </w:r>
      <w:proofErr w:type="gramStart"/>
      <w:r w:rsidR="00EC18F4">
        <w:rPr>
          <w:rFonts w:ascii="Bookman Old Style" w:hAnsi="Bookman Old Style"/>
          <w:bCs/>
          <w:sz w:val="24"/>
          <w:szCs w:val="24"/>
        </w:rPr>
        <w:t>As long as</w:t>
      </w:r>
      <w:proofErr w:type="gramEnd"/>
      <w:r w:rsidR="00EC18F4">
        <w:rPr>
          <w:rFonts w:ascii="Bookman Old Style" w:hAnsi="Bookman Old Style"/>
          <w:bCs/>
          <w:sz w:val="24"/>
          <w:szCs w:val="24"/>
        </w:rPr>
        <w:t xml:space="preserve"> they are handled with transparency</w:t>
      </w:r>
      <w:r w:rsidR="00D8640D">
        <w:rPr>
          <w:rFonts w:ascii="Bookman Old Style" w:hAnsi="Bookman Old Style"/>
          <w:bCs/>
          <w:sz w:val="24"/>
          <w:szCs w:val="24"/>
        </w:rPr>
        <w:t xml:space="preserve">, most </w:t>
      </w:r>
      <w:r w:rsidR="00EC18F4">
        <w:rPr>
          <w:rFonts w:ascii="Bookman Old Style" w:hAnsi="Bookman Old Style"/>
          <w:bCs/>
          <w:sz w:val="24"/>
          <w:szCs w:val="24"/>
        </w:rPr>
        <w:t xml:space="preserve">commitment </w:t>
      </w:r>
      <w:r w:rsidR="00D8640D">
        <w:rPr>
          <w:rFonts w:ascii="Bookman Old Style" w:hAnsi="Bookman Old Style"/>
          <w:bCs/>
          <w:sz w:val="24"/>
          <w:szCs w:val="24"/>
        </w:rPr>
        <w:t xml:space="preserve">conflicts are manageable ones that can result in win-win outcomes for the land trust and the </w:t>
      </w:r>
      <w:r>
        <w:rPr>
          <w:rFonts w:ascii="Bookman Old Style" w:hAnsi="Bookman Old Style"/>
          <w:bCs/>
          <w:sz w:val="24"/>
          <w:szCs w:val="24"/>
        </w:rPr>
        <w:t>other organization</w:t>
      </w:r>
      <w:r w:rsidR="00EC18F4">
        <w:rPr>
          <w:rFonts w:ascii="Bookman Old Style" w:hAnsi="Bookman Old Style"/>
          <w:bCs/>
          <w:sz w:val="24"/>
          <w:szCs w:val="24"/>
        </w:rPr>
        <w:t xml:space="preserve"> to which the individual has a commitment</w:t>
      </w:r>
      <w:r>
        <w:rPr>
          <w:rFonts w:ascii="Bookman Old Style" w:hAnsi="Bookman Old Style"/>
          <w:bCs/>
          <w:sz w:val="24"/>
          <w:szCs w:val="24"/>
        </w:rPr>
        <w:t xml:space="preserve">. </w:t>
      </w:r>
    </w:p>
    <w:p w14:paraId="19AFB745" w14:textId="77777777" w:rsidR="00D8640D" w:rsidRDefault="00D8640D" w:rsidP="00E62D31">
      <w:pPr>
        <w:rPr>
          <w:rFonts w:ascii="Bookman Old Style" w:hAnsi="Bookman Old Style"/>
          <w:bCs/>
          <w:sz w:val="24"/>
          <w:szCs w:val="24"/>
        </w:rPr>
      </w:pPr>
    </w:p>
    <w:p w14:paraId="0BA68C45" w14:textId="2714B4C6" w:rsidR="005F3769" w:rsidRDefault="00FF52A3" w:rsidP="00E62D31">
      <w:pPr>
        <w:rPr>
          <w:rFonts w:ascii="Bookman Old Style" w:hAnsi="Bookman Old Style"/>
          <w:bCs/>
          <w:sz w:val="24"/>
          <w:szCs w:val="24"/>
        </w:rPr>
      </w:pPr>
      <w:r>
        <w:rPr>
          <w:rFonts w:ascii="Bookman Old Style" w:hAnsi="Bookman Old Style"/>
          <w:bCs/>
          <w:sz w:val="24"/>
          <w:szCs w:val="24"/>
        </w:rPr>
        <w:t xml:space="preserve">Federal law provides that a 501(c)(3) organization </w:t>
      </w:r>
      <w:r w:rsidR="001A1D98">
        <w:rPr>
          <w:rFonts w:ascii="Bookman Old Style" w:hAnsi="Bookman Old Style"/>
          <w:bCs/>
          <w:sz w:val="24"/>
          <w:szCs w:val="24"/>
        </w:rPr>
        <w:t>must</w:t>
      </w:r>
      <w:r w:rsidR="0057790A">
        <w:rPr>
          <w:rFonts w:ascii="Bookman Old Style" w:hAnsi="Bookman Old Style"/>
          <w:bCs/>
          <w:sz w:val="24"/>
          <w:szCs w:val="24"/>
        </w:rPr>
        <w:t xml:space="preserve"> not engage</w:t>
      </w:r>
      <w:r>
        <w:rPr>
          <w:rFonts w:ascii="Bookman Old Style" w:hAnsi="Bookman Old Style"/>
          <w:bCs/>
          <w:sz w:val="24"/>
          <w:szCs w:val="24"/>
        </w:rPr>
        <w:t xml:space="preserve"> in “private inurement” or “excess benefit transactions.” These are transactions in which an “insider” (also known as a “disqualified person”</w:t>
      </w:r>
      <w:r w:rsidR="009D0DEC">
        <w:rPr>
          <w:rFonts w:ascii="Bookman Old Style" w:hAnsi="Bookman Old Style"/>
          <w:bCs/>
          <w:sz w:val="24"/>
          <w:szCs w:val="24"/>
        </w:rPr>
        <w:t xml:space="preserve"> or “DQP”</w:t>
      </w:r>
      <w:r>
        <w:rPr>
          <w:rFonts w:ascii="Bookman Old Style" w:hAnsi="Bookman Old Style"/>
          <w:bCs/>
          <w:sz w:val="24"/>
          <w:szCs w:val="24"/>
        </w:rPr>
        <w:t xml:space="preserve">) receives some undue </w:t>
      </w:r>
      <w:r w:rsidR="005F3769">
        <w:rPr>
          <w:rFonts w:ascii="Bookman Old Style" w:hAnsi="Bookman Old Style"/>
          <w:bCs/>
          <w:sz w:val="24"/>
          <w:szCs w:val="24"/>
        </w:rPr>
        <w:t xml:space="preserve">financial </w:t>
      </w:r>
      <w:r w:rsidR="0057790A">
        <w:rPr>
          <w:rFonts w:ascii="Bookman Old Style" w:hAnsi="Bookman Old Style"/>
          <w:bCs/>
          <w:sz w:val="24"/>
          <w:szCs w:val="24"/>
        </w:rPr>
        <w:t>benefit and</w:t>
      </w:r>
      <w:r w:rsidR="00EC18F4">
        <w:rPr>
          <w:rFonts w:ascii="Bookman Old Style" w:hAnsi="Bookman Old Style"/>
          <w:bCs/>
          <w:sz w:val="24"/>
          <w:szCs w:val="24"/>
        </w:rPr>
        <w:t xml:space="preserve"> are mostly aimed toward financial conflicts</w:t>
      </w:r>
      <w:r>
        <w:rPr>
          <w:rFonts w:ascii="Bookman Old Style" w:hAnsi="Bookman Old Style"/>
          <w:bCs/>
          <w:sz w:val="24"/>
          <w:szCs w:val="24"/>
        </w:rPr>
        <w:t xml:space="preserve">. </w:t>
      </w:r>
      <w:r w:rsidR="009D0DEC">
        <w:rPr>
          <w:rFonts w:ascii="Bookman Old Style" w:hAnsi="Bookman Old Style"/>
          <w:bCs/>
          <w:sz w:val="24"/>
          <w:szCs w:val="24"/>
        </w:rPr>
        <w:t xml:space="preserve">A DQP is defined by federal statute “as </w:t>
      </w:r>
      <w:r w:rsidR="009D0DEC" w:rsidRPr="009D0DEC">
        <w:rPr>
          <w:rFonts w:ascii="Bookman Old Style" w:hAnsi="Bookman Old Style"/>
          <w:bCs/>
          <w:sz w:val="24"/>
          <w:szCs w:val="24"/>
          <w:lang w:val="en-US"/>
        </w:rPr>
        <w:t xml:space="preserve">any person who was, at any time during 5-year period preceding </w:t>
      </w:r>
      <w:r w:rsidR="009D0DEC">
        <w:rPr>
          <w:rFonts w:ascii="Bookman Old Style" w:hAnsi="Bookman Old Style"/>
          <w:bCs/>
          <w:sz w:val="24"/>
          <w:szCs w:val="24"/>
          <w:lang w:val="en-US"/>
        </w:rPr>
        <w:t>[an excess benefit]</w:t>
      </w:r>
      <w:r w:rsidR="009D0DEC" w:rsidRPr="009D0DEC">
        <w:rPr>
          <w:rFonts w:ascii="Bookman Old Style" w:hAnsi="Bookman Old Style"/>
          <w:bCs/>
          <w:sz w:val="24"/>
          <w:szCs w:val="24"/>
          <w:lang w:val="en-US"/>
        </w:rPr>
        <w:t xml:space="preserve"> transaction in a position to exercise substantial influence over affairs of </w:t>
      </w:r>
      <w:r w:rsidR="009D0DEC">
        <w:rPr>
          <w:rFonts w:ascii="Bookman Old Style" w:hAnsi="Bookman Old Style"/>
          <w:bCs/>
          <w:sz w:val="24"/>
          <w:szCs w:val="24"/>
          <w:lang w:val="en-US"/>
        </w:rPr>
        <w:t xml:space="preserve">the </w:t>
      </w:r>
      <w:r w:rsidR="009D0DEC" w:rsidRPr="009D0DEC">
        <w:rPr>
          <w:rFonts w:ascii="Bookman Old Style" w:hAnsi="Bookman Old Style"/>
          <w:bCs/>
          <w:sz w:val="24"/>
          <w:szCs w:val="24"/>
          <w:lang w:val="en-US"/>
        </w:rPr>
        <w:t>org</w:t>
      </w:r>
      <w:r w:rsidR="009D0DEC">
        <w:rPr>
          <w:rFonts w:ascii="Bookman Old Style" w:hAnsi="Bookman Old Style"/>
          <w:bCs/>
          <w:sz w:val="24"/>
          <w:szCs w:val="24"/>
          <w:lang w:val="en-US"/>
        </w:rPr>
        <w:t>anization.</w:t>
      </w:r>
      <w:r w:rsidR="009D0DEC" w:rsidRPr="009D0DEC">
        <w:rPr>
          <w:rFonts w:ascii="Bookman Old Style" w:hAnsi="Bookman Old Style"/>
          <w:bCs/>
          <w:sz w:val="24"/>
          <w:szCs w:val="24"/>
          <w:lang w:val="en-US"/>
        </w:rPr>
        <w:t>”</w:t>
      </w:r>
      <w:r w:rsidR="009D0DEC">
        <w:rPr>
          <w:rStyle w:val="FootnoteReference"/>
          <w:rFonts w:ascii="Bookman Old Style" w:hAnsi="Bookman Old Style"/>
          <w:bCs/>
          <w:sz w:val="24"/>
          <w:szCs w:val="24"/>
          <w:lang w:val="en-US"/>
        </w:rPr>
        <w:footnoteReference w:id="15"/>
      </w:r>
      <w:r w:rsidR="009D0DEC">
        <w:rPr>
          <w:rFonts w:ascii="Bookman Old Style" w:hAnsi="Bookman Old Style"/>
          <w:bCs/>
          <w:sz w:val="24"/>
          <w:szCs w:val="24"/>
          <w:lang w:val="en-US"/>
        </w:rPr>
        <w:t xml:space="preserve"> </w:t>
      </w:r>
      <w:r w:rsidR="009D0DEC">
        <w:rPr>
          <w:rFonts w:ascii="Bookman Old Style" w:hAnsi="Bookman Old Style"/>
          <w:bCs/>
          <w:sz w:val="24"/>
          <w:szCs w:val="24"/>
        </w:rPr>
        <w:t xml:space="preserve">But neither the statute nor the regulations specify whether an advisory council member </w:t>
      </w:r>
      <w:r w:rsidR="00415F62">
        <w:rPr>
          <w:rFonts w:ascii="Bookman Old Style" w:hAnsi="Bookman Old Style"/>
          <w:bCs/>
          <w:sz w:val="24"/>
          <w:szCs w:val="24"/>
        </w:rPr>
        <w:t xml:space="preserve">would be deemed a DQP, and in practice it will probably depend on the facts and circumstances of the situation. </w:t>
      </w:r>
    </w:p>
    <w:p w14:paraId="6E0509B1" w14:textId="77777777" w:rsidR="005F3769" w:rsidRDefault="005F3769" w:rsidP="00E62D31">
      <w:pPr>
        <w:rPr>
          <w:rFonts w:ascii="Bookman Old Style" w:hAnsi="Bookman Old Style"/>
          <w:bCs/>
          <w:sz w:val="24"/>
          <w:szCs w:val="24"/>
        </w:rPr>
      </w:pPr>
    </w:p>
    <w:p w14:paraId="220ED8A4" w14:textId="57348CD1" w:rsidR="00FF52A3" w:rsidRDefault="00415F62" w:rsidP="00E62D31">
      <w:pPr>
        <w:rPr>
          <w:rFonts w:ascii="Bookman Old Style" w:hAnsi="Bookman Old Style"/>
          <w:bCs/>
          <w:sz w:val="24"/>
          <w:szCs w:val="24"/>
        </w:rPr>
      </w:pPr>
      <w:r>
        <w:rPr>
          <w:rFonts w:ascii="Bookman Old Style" w:hAnsi="Bookman Old Style"/>
          <w:bCs/>
          <w:sz w:val="24"/>
          <w:szCs w:val="24"/>
        </w:rPr>
        <w:t xml:space="preserve">That said, </w:t>
      </w:r>
      <w:r w:rsidR="001A0082">
        <w:rPr>
          <w:rFonts w:ascii="Bookman Old Style" w:hAnsi="Bookman Old Style"/>
          <w:bCs/>
          <w:sz w:val="24"/>
          <w:szCs w:val="24"/>
        </w:rPr>
        <w:t xml:space="preserve">even if an advisory council member were deemed to be a DQP, </w:t>
      </w:r>
      <w:r>
        <w:rPr>
          <w:rFonts w:ascii="Bookman Old Style" w:hAnsi="Bookman Old Style"/>
          <w:bCs/>
          <w:sz w:val="24"/>
          <w:szCs w:val="24"/>
        </w:rPr>
        <w:t>there is a world of difference between a land trust conducting a transaction with an individual who is an advisory council member</w:t>
      </w:r>
      <w:r w:rsidR="005F3769">
        <w:rPr>
          <w:rFonts w:ascii="Bookman Old Style" w:hAnsi="Bookman Old Style"/>
          <w:bCs/>
          <w:sz w:val="24"/>
          <w:szCs w:val="24"/>
        </w:rPr>
        <w:t xml:space="preserve">, where a financial conflict exists, </w:t>
      </w:r>
      <w:r>
        <w:rPr>
          <w:rFonts w:ascii="Bookman Old Style" w:hAnsi="Bookman Old Style"/>
          <w:bCs/>
          <w:sz w:val="24"/>
          <w:szCs w:val="24"/>
        </w:rPr>
        <w:t xml:space="preserve">and an Indigenous nonprofit or governmental entity of which the advisory </w:t>
      </w:r>
      <w:r>
        <w:rPr>
          <w:rFonts w:ascii="Bookman Old Style" w:hAnsi="Bookman Old Style"/>
          <w:bCs/>
          <w:sz w:val="24"/>
          <w:szCs w:val="24"/>
        </w:rPr>
        <w:lastRenderedPageBreak/>
        <w:t>council member is a representative</w:t>
      </w:r>
      <w:r w:rsidR="005F3769">
        <w:rPr>
          <w:rFonts w:ascii="Bookman Old Style" w:hAnsi="Bookman Old Style"/>
          <w:bCs/>
          <w:sz w:val="24"/>
          <w:szCs w:val="24"/>
        </w:rPr>
        <w:t xml:space="preserve">, where </w:t>
      </w:r>
      <w:r w:rsidR="00EC18F4">
        <w:rPr>
          <w:rFonts w:ascii="Bookman Old Style" w:hAnsi="Bookman Old Style"/>
          <w:bCs/>
          <w:sz w:val="24"/>
          <w:szCs w:val="24"/>
        </w:rPr>
        <w:t xml:space="preserve">the conflict is mostly of a </w:t>
      </w:r>
      <w:r w:rsidR="005F3769">
        <w:rPr>
          <w:rFonts w:ascii="Bookman Old Style" w:hAnsi="Bookman Old Style"/>
          <w:bCs/>
          <w:sz w:val="24"/>
          <w:szCs w:val="24"/>
        </w:rPr>
        <w:t xml:space="preserve">commitment </w:t>
      </w:r>
      <w:r w:rsidR="00EC18F4">
        <w:rPr>
          <w:rFonts w:ascii="Bookman Old Style" w:hAnsi="Bookman Old Style"/>
          <w:bCs/>
          <w:sz w:val="24"/>
          <w:szCs w:val="24"/>
        </w:rPr>
        <w:t>nature</w:t>
      </w:r>
      <w:r>
        <w:rPr>
          <w:rFonts w:ascii="Bookman Old Style" w:hAnsi="Bookman Old Style"/>
          <w:bCs/>
          <w:sz w:val="24"/>
          <w:szCs w:val="24"/>
        </w:rPr>
        <w:t xml:space="preserve">. The </w:t>
      </w:r>
      <w:r w:rsidR="005F3769">
        <w:rPr>
          <w:rFonts w:ascii="Bookman Old Style" w:hAnsi="Bookman Old Style"/>
          <w:bCs/>
          <w:sz w:val="24"/>
          <w:szCs w:val="24"/>
        </w:rPr>
        <w:t xml:space="preserve">financial </w:t>
      </w:r>
      <w:r>
        <w:rPr>
          <w:rFonts w:ascii="Bookman Old Style" w:hAnsi="Bookman Old Style"/>
          <w:bCs/>
          <w:sz w:val="24"/>
          <w:szCs w:val="24"/>
        </w:rPr>
        <w:t xml:space="preserve">benefit derived by the individual from the latter kind of transaction is typically incidental, and thus </w:t>
      </w:r>
      <w:r w:rsidR="00070811">
        <w:rPr>
          <w:rFonts w:ascii="Bookman Old Style" w:hAnsi="Bookman Old Style"/>
          <w:bCs/>
          <w:sz w:val="24"/>
          <w:szCs w:val="24"/>
        </w:rPr>
        <w:t xml:space="preserve">much more manageable. Thus, </w:t>
      </w:r>
      <w:r w:rsidR="00EC18F4">
        <w:rPr>
          <w:rFonts w:ascii="Bookman Old Style" w:hAnsi="Bookman Old Style"/>
          <w:bCs/>
          <w:sz w:val="24"/>
          <w:szCs w:val="24"/>
        </w:rPr>
        <w:t>as a general matter</w:t>
      </w:r>
      <w:r w:rsidR="00070811">
        <w:rPr>
          <w:rFonts w:ascii="Bookman Old Style" w:hAnsi="Bookman Old Style"/>
          <w:bCs/>
          <w:sz w:val="24"/>
          <w:szCs w:val="24"/>
        </w:rPr>
        <w:t xml:space="preserve"> there </w:t>
      </w:r>
      <w:r w:rsidR="00EC18F4">
        <w:rPr>
          <w:rFonts w:ascii="Bookman Old Style" w:hAnsi="Bookman Old Style"/>
          <w:bCs/>
          <w:sz w:val="24"/>
          <w:szCs w:val="24"/>
        </w:rPr>
        <w:t xml:space="preserve">is </w:t>
      </w:r>
      <w:r w:rsidR="00070811">
        <w:rPr>
          <w:rFonts w:ascii="Bookman Old Style" w:hAnsi="Bookman Old Style"/>
          <w:bCs/>
          <w:sz w:val="24"/>
          <w:szCs w:val="24"/>
        </w:rPr>
        <w:t xml:space="preserve">no problem with having an Indigenous advisory </w:t>
      </w:r>
      <w:r w:rsidR="0057790A">
        <w:rPr>
          <w:rFonts w:ascii="Bookman Old Style" w:hAnsi="Bookman Old Style"/>
          <w:bCs/>
          <w:sz w:val="24"/>
          <w:szCs w:val="24"/>
        </w:rPr>
        <w:t>council or</w:t>
      </w:r>
      <w:r w:rsidR="00070811">
        <w:rPr>
          <w:rFonts w:ascii="Bookman Old Style" w:hAnsi="Bookman Old Style"/>
          <w:bCs/>
          <w:sz w:val="24"/>
          <w:szCs w:val="24"/>
        </w:rPr>
        <w:t xml:space="preserve"> having a representative of a Tribal government or Indigenous nonprofit organ</w:t>
      </w:r>
      <w:r w:rsidR="00D8640D">
        <w:rPr>
          <w:rFonts w:ascii="Bookman Old Style" w:hAnsi="Bookman Old Style"/>
          <w:bCs/>
          <w:sz w:val="24"/>
          <w:szCs w:val="24"/>
        </w:rPr>
        <w:t>i</w:t>
      </w:r>
      <w:r w:rsidR="00070811">
        <w:rPr>
          <w:rFonts w:ascii="Bookman Old Style" w:hAnsi="Bookman Old Style"/>
          <w:bCs/>
          <w:sz w:val="24"/>
          <w:szCs w:val="24"/>
        </w:rPr>
        <w:t xml:space="preserve">zation </w:t>
      </w:r>
      <w:r w:rsidR="00D8640D">
        <w:rPr>
          <w:rFonts w:ascii="Bookman Old Style" w:hAnsi="Bookman Old Style"/>
          <w:bCs/>
          <w:sz w:val="24"/>
          <w:szCs w:val="24"/>
        </w:rPr>
        <w:t>serve on the land trust’s advisory council or even its Board of Directors. State and local governmental elected officials serve in these roles with some frequency, and there’s no reason Indigenous members couldn’t do so as well</w:t>
      </w:r>
      <w:r w:rsidR="001A0082">
        <w:rPr>
          <w:rFonts w:ascii="Bookman Old Style" w:hAnsi="Bookman Old Style"/>
          <w:bCs/>
          <w:sz w:val="24"/>
          <w:szCs w:val="24"/>
        </w:rPr>
        <w:t xml:space="preserve">, so long as any commitment conflicts are </w:t>
      </w:r>
      <w:r w:rsidR="0057790A">
        <w:rPr>
          <w:rFonts w:ascii="Bookman Old Style" w:hAnsi="Bookman Old Style"/>
          <w:bCs/>
          <w:sz w:val="24"/>
          <w:szCs w:val="24"/>
        </w:rPr>
        <w:t>acknowledged</w:t>
      </w:r>
      <w:r w:rsidR="001A0082">
        <w:rPr>
          <w:rFonts w:ascii="Bookman Old Style" w:hAnsi="Bookman Old Style"/>
          <w:bCs/>
          <w:sz w:val="24"/>
          <w:szCs w:val="24"/>
        </w:rPr>
        <w:t xml:space="preserve"> and addressed with transparency as per the organization’s Conflict of Interest Policy</w:t>
      </w:r>
      <w:r w:rsidR="00D8640D">
        <w:rPr>
          <w:rFonts w:ascii="Bookman Old Style" w:hAnsi="Bookman Old Style"/>
          <w:bCs/>
          <w:sz w:val="24"/>
          <w:szCs w:val="24"/>
        </w:rPr>
        <w:t xml:space="preserve">. </w:t>
      </w:r>
    </w:p>
    <w:p w14:paraId="6521F3AE" w14:textId="77777777" w:rsidR="00E62D31" w:rsidRPr="00E62D31" w:rsidRDefault="00E62D31" w:rsidP="00E62D31">
      <w:pPr>
        <w:rPr>
          <w:rFonts w:ascii="Bookman Old Style" w:hAnsi="Bookman Old Style"/>
          <w:bCs/>
          <w:sz w:val="24"/>
          <w:szCs w:val="24"/>
        </w:rPr>
      </w:pPr>
    </w:p>
    <w:p w14:paraId="72930D1D" w14:textId="77777777" w:rsidR="00F87463" w:rsidRPr="00680CD6" w:rsidRDefault="00F87463" w:rsidP="00F87463">
      <w:pPr>
        <w:rPr>
          <w:rFonts w:ascii="Bookman Old Style" w:hAnsi="Bookman Old Style"/>
          <w:sz w:val="24"/>
          <w:szCs w:val="24"/>
        </w:rPr>
      </w:pPr>
    </w:p>
    <w:p w14:paraId="77468FFD" w14:textId="690ECA9A" w:rsidR="00F87463" w:rsidRDefault="00F87463" w:rsidP="00F87463">
      <w:pPr>
        <w:ind w:left="360"/>
        <w:rPr>
          <w:rFonts w:ascii="Bookman Old Style" w:hAnsi="Bookman Old Style"/>
          <w:sz w:val="24"/>
          <w:szCs w:val="24"/>
        </w:rPr>
      </w:pPr>
    </w:p>
    <w:p w14:paraId="777F7326" w14:textId="063CFFBE" w:rsidR="00F87463" w:rsidRPr="00680CD6" w:rsidRDefault="00F87463" w:rsidP="00F87463">
      <w:pPr>
        <w:ind w:left="360"/>
        <w:rPr>
          <w:rFonts w:ascii="Bookman Old Style" w:hAnsi="Bookman Old Style"/>
          <w:sz w:val="24"/>
          <w:szCs w:val="24"/>
        </w:rPr>
      </w:pPr>
    </w:p>
    <w:sectPr w:rsidR="00F87463" w:rsidRPr="00680CD6">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6D941" w14:textId="77777777" w:rsidR="00586EC2" w:rsidRDefault="00586EC2" w:rsidP="00680CD6">
      <w:pPr>
        <w:spacing w:line="240" w:lineRule="auto"/>
      </w:pPr>
      <w:r>
        <w:separator/>
      </w:r>
    </w:p>
  </w:endnote>
  <w:endnote w:type="continuationSeparator" w:id="0">
    <w:p w14:paraId="3E2736CC" w14:textId="77777777" w:rsidR="00586EC2" w:rsidRDefault="00586EC2" w:rsidP="00680C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285D3" w14:textId="77777777" w:rsidR="00396E27" w:rsidRDefault="00396E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1322459"/>
      <w:docPartObj>
        <w:docPartGallery w:val="Page Numbers (Bottom of Page)"/>
        <w:docPartUnique/>
      </w:docPartObj>
    </w:sdtPr>
    <w:sdtEndPr>
      <w:rPr>
        <w:rFonts w:ascii="Bookman Old Style" w:hAnsi="Bookman Old Style"/>
        <w:noProof/>
        <w:sz w:val="24"/>
        <w:szCs w:val="24"/>
      </w:rPr>
    </w:sdtEndPr>
    <w:sdtContent>
      <w:p w14:paraId="50FDEB1B" w14:textId="77777777" w:rsidR="00411F3E" w:rsidRDefault="00411F3E">
        <w:pPr>
          <w:pStyle w:val="Footer"/>
          <w:jc w:val="center"/>
        </w:pPr>
      </w:p>
      <w:p w14:paraId="0C42EB40" w14:textId="46D1DB1D" w:rsidR="00F87463" w:rsidRDefault="00F87463">
        <w:pPr>
          <w:pStyle w:val="Footer"/>
          <w:jc w:val="center"/>
          <w:rPr>
            <w:rFonts w:ascii="Bookman Old Style" w:hAnsi="Bookman Old Style"/>
            <w:sz w:val="24"/>
            <w:szCs w:val="24"/>
          </w:rPr>
        </w:pPr>
        <w:r w:rsidRPr="00F87463">
          <w:rPr>
            <w:rFonts w:ascii="Bookman Old Style" w:hAnsi="Bookman Old Style"/>
            <w:sz w:val="24"/>
            <w:szCs w:val="24"/>
          </w:rPr>
          <w:t>F</w:t>
        </w:r>
        <w:r>
          <w:rPr>
            <w:rFonts w:ascii="Bookman Old Style" w:hAnsi="Bookman Old Style"/>
            <w:sz w:val="24"/>
            <w:szCs w:val="24"/>
          </w:rPr>
          <w:t>requently Asked</w:t>
        </w:r>
        <w:r w:rsidR="00E81DCE">
          <w:rPr>
            <w:rFonts w:ascii="Bookman Old Style" w:hAnsi="Bookman Old Style"/>
            <w:sz w:val="24"/>
            <w:szCs w:val="24"/>
          </w:rPr>
          <w:t xml:space="preserve"> </w:t>
        </w:r>
        <w:r>
          <w:rPr>
            <w:rFonts w:ascii="Bookman Old Style" w:hAnsi="Bookman Old Style"/>
            <w:sz w:val="24"/>
            <w:szCs w:val="24"/>
          </w:rPr>
          <w:t>Questions</w:t>
        </w:r>
      </w:p>
      <w:p w14:paraId="2065DD9E" w14:textId="2D964D22" w:rsidR="00E81DCE" w:rsidRPr="00F87463" w:rsidRDefault="00E81DCE">
        <w:pPr>
          <w:pStyle w:val="Footer"/>
          <w:jc w:val="center"/>
          <w:rPr>
            <w:rFonts w:ascii="Bookman Old Style" w:hAnsi="Bookman Old Style"/>
            <w:sz w:val="24"/>
            <w:szCs w:val="24"/>
          </w:rPr>
        </w:pPr>
        <w:r>
          <w:rPr>
            <w:rFonts w:ascii="Bookman Old Style" w:hAnsi="Bookman Old Style"/>
            <w:sz w:val="24"/>
            <w:szCs w:val="24"/>
          </w:rPr>
          <w:t>Supporting Indigenous Land Relationships</w:t>
        </w:r>
        <w:r w:rsidR="00502EED">
          <w:rPr>
            <w:rFonts w:ascii="Bookman Old Style" w:hAnsi="Bookman Old Style"/>
            <w:sz w:val="24"/>
            <w:szCs w:val="24"/>
          </w:rPr>
          <w:t xml:space="preserve"> – </w:t>
        </w:r>
        <w:r w:rsidR="00282B77">
          <w:rPr>
            <w:rFonts w:ascii="Bookman Old Style" w:hAnsi="Bookman Old Style"/>
            <w:sz w:val="24"/>
            <w:szCs w:val="24"/>
          </w:rPr>
          <w:t xml:space="preserve">A </w:t>
        </w:r>
        <w:r w:rsidR="00502EED">
          <w:rPr>
            <w:rFonts w:ascii="Bookman Old Style" w:hAnsi="Bookman Old Style"/>
            <w:sz w:val="24"/>
            <w:szCs w:val="24"/>
          </w:rPr>
          <w:t>Legal An</w:t>
        </w:r>
        <w:r w:rsidR="00282B77">
          <w:rPr>
            <w:rFonts w:ascii="Bookman Old Style" w:hAnsi="Bookman Old Style"/>
            <w:sz w:val="24"/>
            <w:szCs w:val="24"/>
          </w:rPr>
          <w:t>alysis</w:t>
        </w:r>
      </w:p>
      <w:p w14:paraId="3C110791" w14:textId="0337BC64" w:rsidR="00F87463" w:rsidRPr="00F87463" w:rsidRDefault="00F87463">
        <w:pPr>
          <w:pStyle w:val="Footer"/>
          <w:jc w:val="center"/>
          <w:rPr>
            <w:rFonts w:ascii="Bookman Old Style" w:hAnsi="Bookman Old Style"/>
            <w:sz w:val="24"/>
            <w:szCs w:val="24"/>
          </w:rPr>
        </w:pPr>
        <w:r w:rsidRPr="00F87463">
          <w:rPr>
            <w:rFonts w:ascii="Bookman Old Style" w:hAnsi="Bookman Old Style"/>
            <w:sz w:val="24"/>
            <w:szCs w:val="24"/>
          </w:rPr>
          <w:fldChar w:fldCharType="begin"/>
        </w:r>
        <w:r w:rsidRPr="00F87463">
          <w:rPr>
            <w:rFonts w:ascii="Bookman Old Style" w:hAnsi="Bookman Old Style"/>
            <w:sz w:val="24"/>
            <w:szCs w:val="24"/>
          </w:rPr>
          <w:instrText xml:space="preserve"> PAGE   \* MERGEFORMAT </w:instrText>
        </w:r>
        <w:r w:rsidRPr="00F87463">
          <w:rPr>
            <w:rFonts w:ascii="Bookman Old Style" w:hAnsi="Bookman Old Style"/>
            <w:sz w:val="24"/>
            <w:szCs w:val="24"/>
          </w:rPr>
          <w:fldChar w:fldCharType="separate"/>
        </w:r>
        <w:r w:rsidRPr="00F87463">
          <w:rPr>
            <w:rFonts w:ascii="Bookman Old Style" w:hAnsi="Bookman Old Style"/>
            <w:noProof/>
            <w:sz w:val="24"/>
            <w:szCs w:val="24"/>
          </w:rPr>
          <w:t>2</w:t>
        </w:r>
        <w:r w:rsidRPr="00F87463">
          <w:rPr>
            <w:rFonts w:ascii="Bookman Old Style" w:hAnsi="Bookman Old Style"/>
            <w:noProof/>
            <w:sz w:val="24"/>
            <w:szCs w:val="24"/>
          </w:rPr>
          <w:fldChar w:fldCharType="end"/>
        </w:r>
      </w:p>
    </w:sdtContent>
  </w:sdt>
  <w:p w14:paraId="543BBD65" w14:textId="77777777" w:rsidR="00F87463" w:rsidRDefault="00F874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65715" w14:textId="77777777" w:rsidR="00396E27" w:rsidRDefault="00396E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FCC73" w14:textId="77777777" w:rsidR="00586EC2" w:rsidRDefault="00586EC2" w:rsidP="00680CD6">
      <w:pPr>
        <w:spacing w:line="240" w:lineRule="auto"/>
      </w:pPr>
      <w:r>
        <w:separator/>
      </w:r>
    </w:p>
  </w:footnote>
  <w:footnote w:type="continuationSeparator" w:id="0">
    <w:p w14:paraId="64C0557E" w14:textId="77777777" w:rsidR="00586EC2" w:rsidRDefault="00586EC2" w:rsidP="00680CD6">
      <w:pPr>
        <w:spacing w:line="240" w:lineRule="auto"/>
      </w:pPr>
      <w:r>
        <w:continuationSeparator/>
      </w:r>
    </w:p>
  </w:footnote>
  <w:footnote w:id="1">
    <w:p w14:paraId="7882021F" w14:textId="27DD5263" w:rsidR="00680CD6" w:rsidRPr="00680CD6" w:rsidRDefault="00680CD6">
      <w:pPr>
        <w:pStyle w:val="FootnoteText"/>
        <w:rPr>
          <w:lang w:val="en-US"/>
        </w:rPr>
      </w:pPr>
      <w:r>
        <w:rPr>
          <w:rStyle w:val="FootnoteReference"/>
        </w:rPr>
        <w:footnoteRef/>
      </w:r>
      <w:r>
        <w:t xml:space="preserve"> </w:t>
      </w:r>
      <w:r w:rsidRPr="00680CD6">
        <w:rPr>
          <w:rFonts w:ascii="Bookman Old Style" w:hAnsi="Bookman Old Style"/>
          <w:bCs/>
          <w:sz w:val="24"/>
          <w:szCs w:val="24"/>
        </w:rPr>
        <w:t xml:space="preserve">Note that many nonprofits craft an </w:t>
      </w:r>
      <w:r w:rsidR="009500F8" w:rsidRPr="00680CD6">
        <w:rPr>
          <w:rFonts w:ascii="Bookman Old Style" w:hAnsi="Bookman Old Style"/>
          <w:bCs/>
          <w:sz w:val="24"/>
          <w:szCs w:val="24"/>
        </w:rPr>
        <w:t>outward facing</w:t>
      </w:r>
      <w:r w:rsidRPr="00680CD6">
        <w:rPr>
          <w:rFonts w:ascii="Bookman Old Style" w:hAnsi="Bookman Old Style"/>
          <w:bCs/>
          <w:sz w:val="24"/>
          <w:szCs w:val="24"/>
        </w:rPr>
        <w:t xml:space="preserve"> “Mission Statement” that is posted on websites and in various other publications. The Mission Statement is sometimes similar or identical to the purpose statement found in the </w:t>
      </w:r>
      <w:r>
        <w:rPr>
          <w:rFonts w:ascii="Bookman Old Style" w:hAnsi="Bookman Old Style"/>
          <w:bCs/>
          <w:sz w:val="24"/>
          <w:szCs w:val="24"/>
        </w:rPr>
        <w:t xml:space="preserve">Articles and </w:t>
      </w:r>
      <w:r w:rsidRPr="00680CD6">
        <w:rPr>
          <w:rFonts w:ascii="Bookman Old Style" w:hAnsi="Bookman Old Style"/>
          <w:bCs/>
          <w:sz w:val="24"/>
          <w:szCs w:val="24"/>
        </w:rPr>
        <w:t>Bylaws, and sometimes varies quite a bit. In the event of any substantive discrepancy, the applicable legal language for determining an organization’s purposes is the purpose statement in the Articles and Bylaws, not the Mission Statement.</w:t>
      </w:r>
    </w:p>
  </w:footnote>
  <w:footnote w:id="2">
    <w:p w14:paraId="3493F13F" w14:textId="046DB932" w:rsidR="004D59D3" w:rsidRPr="004D59D3" w:rsidRDefault="004D59D3">
      <w:pPr>
        <w:pStyle w:val="FootnoteText"/>
      </w:pPr>
      <w:r w:rsidRPr="004D59D3">
        <w:rPr>
          <w:rStyle w:val="FootnoteReference"/>
          <w:rFonts w:ascii="Bookman Old Style" w:hAnsi="Bookman Old Style"/>
          <w:sz w:val="24"/>
          <w:szCs w:val="24"/>
        </w:rPr>
        <w:footnoteRef/>
      </w:r>
      <w:r w:rsidRPr="004D59D3">
        <w:rPr>
          <w:rFonts w:ascii="Bookman Old Style" w:hAnsi="Bookman Old Style"/>
          <w:sz w:val="24"/>
          <w:szCs w:val="24"/>
        </w:rPr>
        <w:t xml:space="preserve"> </w:t>
      </w:r>
      <w:hyperlink r:id="rId1" w:history="1">
        <w:r w:rsidRPr="004D59D3">
          <w:rPr>
            <w:rStyle w:val="Hyperlink"/>
            <w:rFonts w:ascii="Bookman Old Style" w:hAnsi="Bookman Old Style"/>
            <w:sz w:val="24"/>
            <w:szCs w:val="24"/>
          </w:rPr>
          <w:t xml:space="preserve">Treasury </w:t>
        </w:r>
        <w:r w:rsidRPr="004D59D3">
          <w:rPr>
            <w:rStyle w:val="Hyperlink"/>
            <w:rFonts w:ascii="Bookman Old Style" w:hAnsi="Bookman Old Style"/>
            <w:bCs/>
            <w:sz w:val="24"/>
            <w:szCs w:val="24"/>
          </w:rPr>
          <w:t xml:space="preserve">Regulation </w:t>
        </w:r>
        <w:r w:rsidRPr="004D59D3">
          <w:rPr>
            <w:rStyle w:val="Hyperlink"/>
            <w:rFonts w:ascii="Times New Roman" w:hAnsi="Times New Roman" w:cs="Times New Roman"/>
            <w:bCs/>
            <w:sz w:val="24"/>
            <w:szCs w:val="24"/>
          </w:rPr>
          <w:t>§</w:t>
        </w:r>
        <w:r w:rsidRPr="004D59D3">
          <w:rPr>
            <w:rStyle w:val="Hyperlink"/>
            <w:rFonts w:ascii="Bookman Old Style" w:hAnsi="Bookman Old Style"/>
            <w:bCs/>
            <w:sz w:val="24"/>
            <w:szCs w:val="24"/>
          </w:rPr>
          <w:t>1.501(c)(3)-1(d)(2)</w:t>
        </w:r>
      </w:hyperlink>
      <w:r>
        <w:rPr>
          <w:rFonts w:ascii="Bookman Old Style" w:hAnsi="Bookman Old Style"/>
          <w:bCs/>
          <w:sz w:val="24"/>
          <w:szCs w:val="24"/>
        </w:rPr>
        <w:t>.</w:t>
      </w:r>
    </w:p>
  </w:footnote>
  <w:footnote w:id="3">
    <w:p w14:paraId="427F1268" w14:textId="1B4824C0" w:rsidR="0016341F" w:rsidRPr="00B12C17" w:rsidRDefault="0016341F">
      <w:pPr>
        <w:pStyle w:val="FootnoteText"/>
        <w:rPr>
          <w:rFonts w:ascii="Bookman Old Style" w:hAnsi="Bookman Old Style"/>
          <w:sz w:val="24"/>
          <w:szCs w:val="24"/>
          <w:lang w:val="en-US"/>
        </w:rPr>
      </w:pPr>
      <w:r w:rsidRPr="00B12C17">
        <w:rPr>
          <w:rStyle w:val="FootnoteReference"/>
          <w:rFonts w:ascii="Bookman Old Style" w:hAnsi="Bookman Old Style"/>
        </w:rPr>
        <w:footnoteRef/>
      </w:r>
      <w:r w:rsidRPr="00B12C17">
        <w:rPr>
          <w:rFonts w:ascii="Bookman Old Style" w:hAnsi="Bookman Old Style"/>
        </w:rPr>
        <w:t xml:space="preserve"> </w:t>
      </w:r>
      <w:r w:rsidRPr="00B12C17">
        <w:rPr>
          <w:rFonts w:ascii="Bookman Old Style" w:hAnsi="Bookman Old Style"/>
          <w:sz w:val="24"/>
          <w:szCs w:val="24"/>
          <w:lang w:val="en-US"/>
        </w:rPr>
        <w:t>Specifically, the conservation organization</w:t>
      </w:r>
      <w:r w:rsidR="00B12C17" w:rsidRPr="00B12C17">
        <w:rPr>
          <w:rFonts w:ascii="Bookman Old Style" w:hAnsi="Bookman Old Style"/>
          <w:sz w:val="24"/>
          <w:szCs w:val="24"/>
          <w:lang w:val="en-US"/>
        </w:rPr>
        <w:t>, in conversation with the seller and the Tribe, signed an assignable purchase option agreement to purchase the property. After due diligence was completed, the purchase option was assigned to the Passamaquoddy Tribe who exercised the option and completed the acquisition.</w:t>
      </w:r>
    </w:p>
  </w:footnote>
  <w:footnote w:id="4">
    <w:p w14:paraId="568AE307" w14:textId="239BAC94" w:rsidR="00BE672B" w:rsidRPr="00BE672B" w:rsidRDefault="00BE672B">
      <w:pPr>
        <w:pStyle w:val="FootnoteText"/>
        <w:rPr>
          <w:lang w:val="en-US"/>
        </w:rPr>
      </w:pPr>
      <w:r>
        <w:rPr>
          <w:rStyle w:val="FootnoteReference"/>
        </w:rPr>
        <w:footnoteRef/>
      </w:r>
      <w:r>
        <w:t xml:space="preserve"> </w:t>
      </w:r>
      <w:r>
        <w:rPr>
          <w:rFonts w:ascii="Bookman Old Style" w:hAnsi="Bookman Old Style"/>
          <w:bCs/>
          <w:sz w:val="24"/>
          <w:szCs w:val="24"/>
        </w:rPr>
        <w:t>There are three related but distinct sets of rules, “private benefit,” “private inurement,” and “excess benefit transactions.” The latter two apply only with respect to transactions between a 501(c)(3) organization and an “insider” such as a Board director, major donor, or staff member. Because the typical land back project does not involve such insiders, I will focus this</w:t>
      </w:r>
      <w:r w:rsidR="009338B2">
        <w:rPr>
          <w:rFonts w:ascii="Bookman Old Style" w:hAnsi="Bookman Old Style"/>
          <w:bCs/>
          <w:sz w:val="24"/>
          <w:szCs w:val="24"/>
        </w:rPr>
        <w:t xml:space="preserve"> discussion</w:t>
      </w:r>
      <w:r>
        <w:rPr>
          <w:rFonts w:ascii="Bookman Old Style" w:hAnsi="Bookman Old Style"/>
          <w:bCs/>
          <w:sz w:val="24"/>
          <w:szCs w:val="24"/>
        </w:rPr>
        <w:t xml:space="preserve"> on the private benefit doctrine.</w:t>
      </w:r>
      <w:r w:rsidR="009338B2">
        <w:rPr>
          <w:rFonts w:ascii="Bookman Old Style" w:hAnsi="Bookman Old Style"/>
          <w:bCs/>
          <w:sz w:val="24"/>
          <w:szCs w:val="24"/>
        </w:rPr>
        <w:t xml:space="preserve"> Along these lines, </w:t>
      </w:r>
      <w:r>
        <w:rPr>
          <w:rFonts w:ascii="Bookman Old Style" w:hAnsi="Bookman Old Style"/>
          <w:bCs/>
          <w:sz w:val="24"/>
          <w:szCs w:val="24"/>
        </w:rPr>
        <w:t xml:space="preserve">land trusts should </w:t>
      </w:r>
      <w:r w:rsidR="009338B2">
        <w:rPr>
          <w:rFonts w:ascii="Bookman Old Style" w:hAnsi="Bookman Old Style"/>
          <w:bCs/>
          <w:sz w:val="24"/>
          <w:szCs w:val="24"/>
        </w:rPr>
        <w:t xml:space="preserve">be very wary of any </w:t>
      </w:r>
      <w:r>
        <w:rPr>
          <w:rFonts w:ascii="Bookman Old Style" w:hAnsi="Bookman Old Style"/>
          <w:bCs/>
          <w:sz w:val="24"/>
          <w:szCs w:val="24"/>
        </w:rPr>
        <w:t>land back project</w:t>
      </w:r>
      <w:r w:rsidR="000B4A04">
        <w:rPr>
          <w:rFonts w:ascii="Bookman Old Style" w:hAnsi="Bookman Old Style"/>
          <w:bCs/>
          <w:sz w:val="24"/>
          <w:szCs w:val="24"/>
        </w:rPr>
        <w:t xml:space="preserve"> </w:t>
      </w:r>
      <w:r w:rsidR="009338B2">
        <w:rPr>
          <w:rFonts w:ascii="Bookman Old Style" w:hAnsi="Bookman Old Style"/>
          <w:bCs/>
          <w:sz w:val="24"/>
          <w:szCs w:val="24"/>
        </w:rPr>
        <w:t xml:space="preserve">that </w:t>
      </w:r>
      <w:r w:rsidR="000B4A04">
        <w:rPr>
          <w:rFonts w:ascii="Bookman Old Style" w:hAnsi="Bookman Old Style"/>
          <w:bCs/>
          <w:sz w:val="24"/>
          <w:szCs w:val="24"/>
        </w:rPr>
        <w:t xml:space="preserve">does involve an insider. </w:t>
      </w:r>
    </w:p>
  </w:footnote>
  <w:footnote w:id="5">
    <w:p w14:paraId="24B691E5" w14:textId="3E229271" w:rsidR="00D55D90" w:rsidRPr="00D55D90" w:rsidRDefault="00D55D90">
      <w:pPr>
        <w:pStyle w:val="FootnoteText"/>
        <w:rPr>
          <w:rFonts w:ascii="Bookman Old Style" w:hAnsi="Bookman Old Style"/>
          <w:lang w:val="en-US"/>
        </w:rPr>
      </w:pPr>
      <w:r w:rsidRPr="00D55D90">
        <w:rPr>
          <w:rStyle w:val="FootnoteReference"/>
          <w:rFonts w:ascii="Bookman Old Style" w:hAnsi="Bookman Old Style"/>
          <w:sz w:val="24"/>
          <w:szCs w:val="24"/>
        </w:rPr>
        <w:footnoteRef/>
      </w:r>
      <w:r w:rsidRPr="00D55D90">
        <w:rPr>
          <w:rFonts w:ascii="Bookman Old Style" w:hAnsi="Bookman Old Style"/>
          <w:sz w:val="24"/>
          <w:szCs w:val="24"/>
        </w:rPr>
        <w:t xml:space="preserve"> </w:t>
      </w:r>
      <w:r w:rsidRPr="00D55D90">
        <w:rPr>
          <w:rFonts w:ascii="Bookman Old Style" w:hAnsi="Bookman Old Style"/>
          <w:i/>
          <w:iCs/>
          <w:sz w:val="24"/>
          <w:szCs w:val="24"/>
          <w:lang w:val="en-US"/>
        </w:rPr>
        <w:t>American Campaign Academy v. Comm’r</w:t>
      </w:r>
      <w:r w:rsidRPr="00D55D90">
        <w:rPr>
          <w:rFonts w:ascii="Bookman Old Style" w:hAnsi="Bookman Old Style"/>
          <w:sz w:val="24"/>
          <w:szCs w:val="24"/>
          <w:lang w:val="en-US"/>
        </w:rPr>
        <w:t>, 92 T.C. 1053 (1989)</w:t>
      </w:r>
      <w:r w:rsidR="002A1DCB">
        <w:rPr>
          <w:rFonts w:ascii="Bookman Old Style" w:hAnsi="Bookman Old Style"/>
          <w:sz w:val="24"/>
          <w:szCs w:val="24"/>
          <w:lang w:val="en-US"/>
        </w:rPr>
        <w:t>.</w:t>
      </w:r>
    </w:p>
  </w:footnote>
  <w:footnote w:id="6">
    <w:p w14:paraId="56372980" w14:textId="3F56F510" w:rsidR="00D55D90" w:rsidRPr="002A1DCB" w:rsidRDefault="00D55D90">
      <w:pPr>
        <w:pStyle w:val="FootnoteText"/>
        <w:rPr>
          <w:rFonts w:ascii="Bookman Old Style" w:hAnsi="Bookman Old Style"/>
          <w:lang w:val="en-US"/>
        </w:rPr>
      </w:pPr>
      <w:r w:rsidRPr="002A1DCB">
        <w:rPr>
          <w:rStyle w:val="FootnoteReference"/>
          <w:rFonts w:ascii="Bookman Old Style" w:hAnsi="Bookman Old Style"/>
          <w:sz w:val="24"/>
          <w:szCs w:val="24"/>
        </w:rPr>
        <w:footnoteRef/>
      </w:r>
      <w:r w:rsidRPr="002A1DCB">
        <w:rPr>
          <w:rFonts w:ascii="Bookman Old Style" w:hAnsi="Bookman Old Style"/>
          <w:sz w:val="24"/>
          <w:szCs w:val="24"/>
        </w:rPr>
        <w:t xml:space="preserve"> </w:t>
      </w:r>
      <w:r w:rsidR="002A1DCB" w:rsidRPr="002A1DCB">
        <w:rPr>
          <w:rFonts w:ascii="Bookman Old Style" w:hAnsi="Bookman Old Style"/>
          <w:i/>
          <w:iCs/>
          <w:sz w:val="24"/>
          <w:szCs w:val="24"/>
        </w:rPr>
        <w:t>Quality Auditing Co. v. Comm’r</w:t>
      </w:r>
      <w:r w:rsidR="002A1DCB" w:rsidRPr="002A1DCB">
        <w:rPr>
          <w:rFonts w:ascii="Bookman Old Style" w:hAnsi="Bookman Old Style"/>
          <w:sz w:val="24"/>
          <w:szCs w:val="24"/>
        </w:rPr>
        <w:t>, 114 T.C. 498 (2000).</w:t>
      </w:r>
    </w:p>
  </w:footnote>
  <w:footnote w:id="7">
    <w:p w14:paraId="401D7BF4" w14:textId="4CBDCE15" w:rsidR="002A1DCB" w:rsidRPr="00C2724C" w:rsidRDefault="002A1DCB">
      <w:pPr>
        <w:pStyle w:val="FootnoteText"/>
        <w:rPr>
          <w:rFonts w:ascii="Bookman Old Style" w:hAnsi="Bookman Old Style"/>
        </w:rPr>
      </w:pPr>
      <w:r w:rsidRPr="00C2724C">
        <w:rPr>
          <w:rStyle w:val="FootnoteReference"/>
          <w:rFonts w:ascii="Bookman Old Style" w:hAnsi="Bookman Old Style"/>
          <w:sz w:val="24"/>
          <w:szCs w:val="24"/>
        </w:rPr>
        <w:footnoteRef/>
      </w:r>
      <w:r w:rsidRPr="00C2724C">
        <w:rPr>
          <w:rFonts w:ascii="Bookman Old Style" w:hAnsi="Bookman Old Style"/>
          <w:sz w:val="24"/>
          <w:szCs w:val="24"/>
        </w:rPr>
        <w:t xml:space="preserve"> </w:t>
      </w:r>
      <w:r w:rsidR="00C2724C" w:rsidRPr="00C2724C">
        <w:rPr>
          <w:rFonts w:ascii="Bookman Old Style" w:hAnsi="Bookman Old Style"/>
          <w:sz w:val="24"/>
          <w:szCs w:val="24"/>
        </w:rPr>
        <w:t>IRS Rev. Rul. 80–302.</w:t>
      </w:r>
    </w:p>
  </w:footnote>
  <w:footnote w:id="8">
    <w:p w14:paraId="4EDFF63F" w14:textId="58FDB940" w:rsidR="00CA1560" w:rsidRPr="00CA1560" w:rsidRDefault="00CA1560">
      <w:pPr>
        <w:pStyle w:val="FootnoteText"/>
        <w:rPr>
          <w:rFonts w:ascii="Bookman Old Style" w:hAnsi="Bookman Old Style"/>
          <w:lang w:val="en-US"/>
        </w:rPr>
      </w:pPr>
      <w:r w:rsidRPr="00CA1560">
        <w:rPr>
          <w:rStyle w:val="FootnoteReference"/>
          <w:rFonts w:ascii="Bookman Old Style" w:hAnsi="Bookman Old Style"/>
          <w:sz w:val="24"/>
          <w:szCs w:val="24"/>
        </w:rPr>
        <w:footnoteRef/>
      </w:r>
      <w:r w:rsidRPr="00CA1560">
        <w:rPr>
          <w:rFonts w:ascii="Bookman Old Style" w:hAnsi="Bookman Old Style"/>
          <w:sz w:val="24"/>
          <w:szCs w:val="24"/>
        </w:rPr>
        <w:t xml:space="preserve"> </w:t>
      </w:r>
      <w:hyperlink r:id="rId2" w:history="1">
        <w:r w:rsidRPr="00CA1560">
          <w:rPr>
            <w:rStyle w:val="Hyperlink"/>
            <w:rFonts w:ascii="Bookman Old Style" w:hAnsi="Bookman Old Style"/>
            <w:sz w:val="24"/>
            <w:szCs w:val="24"/>
          </w:rPr>
          <w:t>https://www.irs.gov/government-entities/indian-tribal-governments/itg-faq-2-answer-are-federally-recognized-tribes-considered-organizations-to-which-charitable-contributions-are-tax-deductible</w:t>
        </w:r>
      </w:hyperlink>
      <w:r w:rsidRPr="00CA1560">
        <w:rPr>
          <w:rFonts w:ascii="Bookman Old Style" w:hAnsi="Bookman Old Style"/>
          <w:sz w:val="24"/>
          <w:szCs w:val="24"/>
        </w:rPr>
        <w:t xml:space="preserve"> </w:t>
      </w:r>
    </w:p>
  </w:footnote>
  <w:footnote w:id="9">
    <w:p w14:paraId="27334410" w14:textId="326A88AB" w:rsidR="00E91B5E" w:rsidRPr="00E91B5E" w:rsidRDefault="00E91B5E">
      <w:pPr>
        <w:pStyle w:val="FootnoteText"/>
        <w:rPr>
          <w:rFonts w:ascii="Bookman Old Style" w:hAnsi="Bookman Old Style"/>
          <w:sz w:val="24"/>
          <w:szCs w:val="24"/>
          <w:lang w:val="en-US"/>
        </w:rPr>
      </w:pPr>
      <w:r w:rsidRPr="00E91B5E">
        <w:rPr>
          <w:rStyle w:val="FootnoteReference"/>
          <w:rFonts w:ascii="Bookman Old Style" w:hAnsi="Bookman Old Style"/>
          <w:sz w:val="24"/>
          <w:szCs w:val="24"/>
        </w:rPr>
        <w:footnoteRef/>
      </w:r>
      <w:r w:rsidRPr="00E91B5E">
        <w:rPr>
          <w:rFonts w:ascii="Bookman Old Style" w:hAnsi="Bookman Old Style"/>
          <w:sz w:val="24"/>
          <w:szCs w:val="24"/>
        </w:rPr>
        <w:t xml:space="preserve"> </w:t>
      </w:r>
      <w:r>
        <w:rPr>
          <w:rFonts w:ascii="Bookman Old Style" w:hAnsi="Bookman Old Style"/>
          <w:sz w:val="24"/>
          <w:szCs w:val="24"/>
        </w:rPr>
        <w:t xml:space="preserve">For a discussion of the “charitable class” concept in the disaster-relief context, see </w:t>
      </w:r>
      <w:hyperlink r:id="rId3" w:history="1">
        <w:r w:rsidRPr="00A85522">
          <w:rPr>
            <w:rStyle w:val="Hyperlink"/>
            <w:rFonts w:ascii="Bookman Old Style" w:hAnsi="Bookman Old Style"/>
            <w:sz w:val="24"/>
            <w:szCs w:val="24"/>
          </w:rPr>
          <w:t>https://www.irs.gov/charities-non-profits/charitable-organizations/disaster-relief-meaning-of-charitable-class</w:t>
        </w:r>
      </w:hyperlink>
      <w:r>
        <w:rPr>
          <w:rFonts w:ascii="Bookman Old Style" w:hAnsi="Bookman Old Style"/>
          <w:sz w:val="24"/>
          <w:szCs w:val="24"/>
        </w:rPr>
        <w:t xml:space="preserve">. The same </w:t>
      </w:r>
      <w:r w:rsidR="00E03D0C">
        <w:rPr>
          <w:rFonts w:ascii="Bookman Old Style" w:hAnsi="Bookman Old Style"/>
          <w:sz w:val="24"/>
          <w:szCs w:val="24"/>
        </w:rPr>
        <w:t xml:space="preserve">analysis applies more generally to any type of grant or assistance provided by a 501(c)(3) organization. </w:t>
      </w:r>
    </w:p>
  </w:footnote>
  <w:footnote w:id="10">
    <w:p w14:paraId="547D0F9F" w14:textId="2CEC3E88" w:rsidR="00D33B18" w:rsidRPr="00D33B18" w:rsidRDefault="00D33B18">
      <w:pPr>
        <w:pStyle w:val="FootnoteText"/>
      </w:pPr>
      <w:r w:rsidRPr="00D33B18">
        <w:rPr>
          <w:rStyle w:val="FootnoteReference"/>
          <w:rFonts w:ascii="Bookman Old Style" w:hAnsi="Bookman Old Style"/>
          <w:sz w:val="24"/>
          <w:szCs w:val="24"/>
        </w:rPr>
        <w:footnoteRef/>
      </w:r>
      <w:r w:rsidRPr="00D33B18">
        <w:rPr>
          <w:rFonts w:ascii="Bookman Old Style" w:hAnsi="Bookman Old Style"/>
          <w:sz w:val="24"/>
          <w:szCs w:val="24"/>
        </w:rPr>
        <w:t xml:space="preserve"> </w:t>
      </w:r>
      <w:hyperlink r:id="rId4" w:history="1">
        <w:r w:rsidRPr="00D33B18">
          <w:rPr>
            <w:rStyle w:val="Hyperlink"/>
            <w:rFonts w:ascii="Bookman Old Style" w:hAnsi="Bookman Old Style"/>
            <w:sz w:val="24"/>
            <w:szCs w:val="24"/>
          </w:rPr>
          <w:t>33 M.R.S. 477-</w:t>
        </w:r>
        <w:proofErr w:type="gramStart"/>
        <w:r w:rsidRPr="00D33B18">
          <w:rPr>
            <w:rStyle w:val="Hyperlink"/>
            <w:rFonts w:ascii="Bookman Old Style" w:hAnsi="Bookman Old Style"/>
            <w:sz w:val="24"/>
            <w:szCs w:val="24"/>
          </w:rPr>
          <w:t>A(</w:t>
        </w:r>
        <w:proofErr w:type="gramEnd"/>
        <w:r w:rsidRPr="00D33B18">
          <w:rPr>
            <w:rStyle w:val="Hyperlink"/>
            <w:rFonts w:ascii="Bookman Old Style" w:hAnsi="Bookman Old Style"/>
            <w:sz w:val="24"/>
            <w:szCs w:val="24"/>
          </w:rPr>
          <w:t>3)</w:t>
        </w:r>
      </w:hyperlink>
      <w:r>
        <w:rPr>
          <w:rFonts w:ascii="Bookman Old Style" w:hAnsi="Bookman Old Style"/>
          <w:sz w:val="24"/>
          <w:szCs w:val="24"/>
        </w:rPr>
        <w:t xml:space="preserve">. Maine’s statute is unique in this respect, as most if not all other </w:t>
      </w:r>
      <w:r w:rsidR="00E62D31">
        <w:rPr>
          <w:rFonts w:ascii="Bookman Old Style" w:hAnsi="Bookman Old Style"/>
          <w:sz w:val="24"/>
          <w:szCs w:val="24"/>
        </w:rPr>
        <w:t xml:space="preserve">state </w:t>
      </w:r>
      <w:r>
        <w:rPr>
          <w:rFonts w:ascii="Bookman Old Style" w:hAnsi="Bookman Old Style"/>
          <w:sz w:val="24"/>
          <w:szCs w:val="24"/>
        </w:rPr>
        <w:t>statutes do not contain such a requirement.</w:t>
      </w:r>
    </w:p>
  </w:footnote>
  <w:footnote w:id="11">
    <w:p w14:paraId="27C61EC6" w14:textId="53C1D121" w:rsidR="00D33B18" w:rsidRPr="00D33B18" w:rsidRDefault="00D33B18">
      <w:pPr>
        <w:pStyle w:val="FootnoteText"/>
        <w:rPr>
          <w:rFonts w:ascii="Bookman Old Style" w:hAnsi="Bookman Old Style"/>
        </w:rPr>
      </w:pPr>
      <w:r w:rsidRPr="00D33B18">
        <w:rPr>
          <w:rStyle w:val="FootnoteReference"/>
          <w:rFonts w:ascii="Bookman Old Style" w:hAnsi="Bookman Old Style"/>
          <w:sz w:val="24"/>
          <w:szCs w:val="24"/>
        </w:rPr>
        <w:footnoteRef/>
      </w:r>
      <w:r w:rsidRPr="00D33B18">
        <w:rPr>
          <w:rFonts w:ascii="Bookman Old Style" w:hAnsi="Bookman Old Style"/>
          <w:sz w:val="24"/>
          <w:szCs w:val="24"/>
        </w:rPr>
        <w:t xml:space="preserve"> </w:t>
      </w:r>
      <w:hyperlink r:id="rId5" w:history="1">
        <w:r w:rsidRPr="00267213">
          <w:rPr>
            <w:rStyle w:val="Hyperlink"/>
            <w:rFonts w:ascii="Bookman Old Style" w:hAnsi="Bookman Old Style"/>
            <w:sz w:val="24"/>
            <w:szCs w:val="24"/>
          </w:rPr>
          <w:t>Standards and Practices</w:t>
        </w:r>
      </w:hyperlink>
      <w:r w:rsidRPr="00D33B18">
        <w:rPr>
          <w:rFonts w:ascii="Bookman Old Style" w:hAnsi="Bookman Old Style"/>
          <w:sz w:val="24"/>
          <w:szCs w:val="24"/>
        </w:rPr>
        <w:t xml:space="preserve">, </w:t>
      </w:r>
      <w:r w:rsidRPr="00D33B18">
        <w:rPr>
          <w:rFonts w:ascii="Bookman Old Style" w:hAnsi="Bookman Old Style" w:cs="Times New Roman"/>
          <w:sz w:val="24"/>
          <w:szCs w:val="24"/>
        </w:rPr>
        <w:t>§</w:t>
      </w:r>
      <w:proofErr w:type="gramStart"/>
      <w:r w:rsidRPr="00D33B18">
        <w:rPr>
          <w:rFonts w:ascii="Bookman Old Style" w:hAnsi="Bookman Old Style"/>
          <w:sz w:val="24"/>
          <w:szCs w:val="24"/>
        </w:rPr>
        <w:t>11.C.</w:t>
      </w:r>
      <w:proofErr w:type="gramEnd"/>
      <w:r w:rsidRPr="00D33B18">
        <w:rPr>
          <w:rFonts w:ascii="Bookman Old Style" w:hAnsi="Bookman Old Style"/>
          <w:sz w:val="24"/>
          <w:szCs w:val="24"/>
        </w:rPr>
        <w:t>2.</w:t>
      </w:r>
    </w:p>
  </w:footnote>
  <w:footnote w:id="12">
    <w:p w14:paraId="27D44223" w14:textId="4AE41B84" w:rsidR="00EC479C" w:rsidRPr="000543F3" w:rsidRDefault="00EC479C">
      <w:pPr>
        <w:pStyle w:val="FootnoteText"/>
        <w:rPr>
          <w:rFonts w:ascii="Bookman Old Style" w:hAnsi="Bookman Old Style"/>
          <w:lang w:val="en-US"/>
        </w:rPr>
      </w:pPr>
      <w:r w:rsidRPr="000543F3">
        <w:rPr>
          <w:rStyle w:val="FootnoteReference"/>
          <w:rFonts w:ascii="Bookman Old Style" w:hAnsi="Bookman Old Style"/>
          <w:sz w:val="24"/>
          <w:szCs w:val="24"/>
        </w:rPr>
        <w:footnoteRef/>
      </w:r>
      <w:r w:rsidRPr="000543F3">
        <w:rPr>
          <w:rFonts w:ascii="Bookman Old Style" w:hAnsi="Bookman Old Style"/>
          <w:sz w:val="24"/>
          <w:szCs w:val="24"/>
          <w:lang w:val="en-US"/>
        </w:rPr>
        <w:t xml:space="preserve"> </w:t>
      </w:r>
      <w:hyperlink r:id="rId6" w:history="1">
        <w:r w:rsidRPr="000543F3">
          <w:rPr>
            <w:rStyle w:val="Hyperlink"/>
            <w:rFonts w:ascii="Bookman Old Style" w:hAnsi="Bookman Old Style"/>
            <w:sz w:val="24"/>
            <w:szCs w:val="24"/>
            <w:lang w:val="en-US"/>
          </w:rPr>
          <w:t>33 M.R.S. §476 et seq.</w:t>
        </w:r>
      </w:hyperlink>
    </w:p>
  </w:footnote>
  <w:footnote w:id="13">
    <w:p w14:paraId="5969ADB9" w14:textId="4DAEC7F3" w:rsidR="008742A6" w:rsidRPr="00706DC2" w:rsidRDefault="008742A6">
      <w:pPr>
        <w:pStyle w:val="FootnoteText"/>
        <w:rPr>
          <w:lang w:val="en-US"/>
        </w:rPr>
      </w:pPr>
      <w:r w:rsidRPr="00706DC2">
        <w:rPr>
          <w:rStyle w:val="FootnoteReference"/>
          <w:rFonts w:ascii="Bookman Old Style" w:hAnsi="Bookman Old Style"/>
          <w:sz w:val="24"/>
          <w:szCs w:val="24"/>
        </w:rPr>
        <w:footnoteRef/>
      </w:r>
      <w:r w:rsidRPr="00706DC2">
        <w:rPr>
          <w:rFonts w:ascii="Bookman Old Style" w:hAnsi="Bookman Old Style"/>
          <w:sz w:val="24"/>
          <w:szCs w:val="24"/>
          <w:lang w:val="en-US"/>
        </w:rPr>
        <w:t xml:space="preserve"> </w:t>
      </w:r>
      <w:r>
        <w:rPr>
          <w:rFonts w:ascii="Bookman Old Style" w:hAnsi="Bookman Old Style"/>
          <w:sz w:val="24"/>
          <w:szCs w:val="24"/>
        </w:rPr>
        <w:t>This instrument could also be called a “cultural use easement” or “cultural access easement.” What’s important isn’t what the document is titled, but what its text allows or prohibits. For simplicity, I’ll refer to this tool as a “cultural use agreement” throughout the rest of the FAQ.</w:t>
      </w:r>
    </w:p>
  </w:footnote>
  <w:footnote w:id="14">
    <w:p w14:paraId="0EA88075" w14:textId="7C50DA01" w:rsidR="00BA7E1D" w:rsidRPr="002F3739" w:rsidRDefault="00BA7E1D">
      <w:pPr>
        <w:pStyle w:val="FootnoteText"/>
        <w:rPr>
          <w:rFonts w:ascii="Bookman Old Style" w:hAnsi="Bookman Old Style"/>
          <w:lang w:val="en-US"/>
        </w:rPr>
      </w:pPr>
      <w:r w:rsidRPr="00BA7E1D">
        <w:rPr>
          <w:rStyle w:val="FootnoteReference"/>
          <w:rFonts w:ascii="Bookman Old Style" w:hAnsi="Bookman Old Style"/>
          <w:sz w:val="24"/>
          <w:szCs w:val="24"/>
        </w:rPr>
        <w:footnoteRef/>
      </w:r>
      <w:r w:rsidRPr="00821231">
        <w:rPr>
          <w:rFonts w:ascii="Bookman Old Style" w:hAnsi="Bookman Old Style"/>
          <w:sz w:val="24"/>
          <w:szCs w:val="24"/>
          <w:lang w:val="en-US"/>
        </w:rPr>
        <w:t xml:space="preserve"> </w:t>
      </w:r>
      <w:hyperlink r:id="rId7" w:history="1">
        <w:r w:rsidRPr="00821231">
          <w:rPr>
            <w:rStyle w:val="Hyperlink"/>
            <w:rFonts w:ascii="Bookman Old Style" w:hAnsi="Bookman Old Style"/>
            <w:sz w:val="24"/>
            <w:szCs w:val="24"/>
            <w:lang w:val="en-US"/>
          </w:rPr>
          <w:t>https://www.irs.gov/charities-non-profits/charitable-organizations/organizational-test-internal-revenue-code-section-501c3</w:t>
        </w:r>
      </w:hyperlink>
      <w:r w:rsidRPr="00821231">
        <w:rPr>
          <w:rFonts w:ascii="Bookman Old Style" w:hAnsi="Bookman Old Style"/>
          <w:sz w:val="24"/>
          <w:szCs w:val="24"/>
          <w:lang w:val="en-US"/>
        </w:rPr>
        <w:t xml:space="preserve"> </w:t>
      </w:r>
    </w:p>
  </w:footnote>
  <w:footnote w:id="15">
    <w:p w14:paraId="10CBA5AC" w14:textId="02245A68" w:rsidR="009D0DEC" w:rsidRPr="009D0DEC" w:rsidRDefault="009D0DEC">
      <w:pPr>
        <w:pStyle w:val="FootnoteText"/>
        <w:rPr>
          <w:rFonts w:ascii="Bookman Old Style" w:hAnsi="Bookman Old Style"/>
          <w:sz w:val="24"/>
          <w:szCs w:val="24"/>
          <w:lang w:val="en-US"/>
        </w:rPr>
      </w:pPr>
      <w:r w:rsidRPr="009D0DEC">
        <w:rPr>
          <w:rStyle w:val="FootnoteReference"/>
          <w:rFonts w:ascii="Bookman Old Style" w:hAnsi="Bookman Old Style"/>
          <w:sz w:val="24"/>
          <w:szCs w:val="24"/>
        </w:rPr>
        <w:footnoteRef/>
      </w:r>
      <w:r w:rsidRPr="009D0DEC">
        <w:rPr>
          <w:rFonts w:ascii="Bookman Old Style" w:hAnsi="Bookman Old Style"/>
          <w:sz w:val="24"/>
          <w:szCs w:val="24"/>
        </w:rPr>
        <w:t xml:space="preserve"> </w:t>
      </w:r>
      <w:hyperlink r:id="rId8" w:history="1">
        <w:r w:rsidRPr="009D0DEC">
          <w:rPr>
            <w:rStyle w:val="Hyperlink"/>
            <w:rFonts w:ascii="Bookman Old Style" w:hAnsi="Bookman Old Style"/>
            <w:bCs/>
            <w:sz w:val="24"/>
            <w:szCs w:val="24"/>
            <w:lang w:val="en-US"/>
          </w:rPr>
          <w:t xml:space="preserve">I.R.S </w:t>
        </w:r>
        <w:r w:rsidRPr="009D0DEC">
          <w:rPr>
            <w:rStyle w:val="Hyperlink"/>
            <w:rFonts w:ascii="Bookman Old Style" w:hAnsi="Bookman Old Style" w:cs="Times New Roman"/>
            <w:bCs/>
            <w:sz w:val="24"/>
            <w:szCs w:val="24"/>
            <w:lang w:val="en-US"/>
          </w:rPr>
          <w:t xml:space="preserve">§ </w:t>
        </w:r>
        <w:r w:rsidRPr="009D0DEC">
          <w:rPr>
            <w:rStyle w:val="Hyperlink"/>
            <w:rFonts w:ascii="Bookman Old Style" w:hAnsi="Bookman Old Style"/>
            <w:bCs/>
            <w:sz w:val="24"/>
            <w:szCs w:val="24"/>
            <w:lang w:val="en-US"/>
          </w:rPr>
          <w:t>4958(f)(1)(A)</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4E811" w14:textId="19FDBFE4" w:rsidR="00396E27" w:rsidRDefault="00396E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5EDB0" w14:textId="36B73D09" w:rsidR="00396E27" w:rsidRDefault="00396E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5922A" w14:textId="2C357607" w:rsidR="00396E27" w:rsidRDefault="00396E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232C2C"/>
    <w:multiLevelType w:val="multilevel"/>
    <w:tmpl w:val="945AEF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C577610"/>
    <w:multiLevelType w:val="hybridMultilevel"/>
    <w:tmpl w:val="E55EFD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5264032">
    <w:abstractNumId w:val="0"/>
  </w:num>
  <w:num w:numId="2" w16cid:durableId="5817924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757"/>
    <w:rsid w:val="00052992"/>
    <w:rsid w:val="00053AB3"/>
    <w:rsid w:val="000543F3"/>
    <w:rsid w:val="0005589A"/>
    <w:rsid w:val="00066AB4"/>
    <w:rsid w:val="00070811"/>
    <w:rsid w:val="00081BCF"/>
    <w:rsid w:val="00086970"/>
    <w:rsid w:val="000B33E7"/>
    <w:rsid w:val="000B4A04"/>
    <w:rsid w:val="000C7326"/>
    <w:rsid w:val="000E2DEB"/>
    <w:rsid w:val="0010204A"/>
    <w:rsid w:val="00110CAD"/>
    <w:rsid w:val="00112035"/>
    <w:rsid w:val="00120585"/>
    <w:rsid w:val="00157152"/>
    <w:rsid w:val="0016341F"/>
    <w:rsid w:val="00173734"/>
    <w:rsid w:val="00191609"/>
    <w:rsid w:val="001A0082"/>
    <w:rsid w:val="001A1D98"/>
    <w:rsid w:val="001C2EEC"/>
    <w:rsid w:val="001C44AE"/>
    <w:rsid w:val="001F4A10"/>
    <w:rsid w:val="00215307"/>
    <w:rsid w:val="00222A13"/>
    <w:rsid w:val="0022450C"/>
    <w:rsid w:val="0024716F"/>
    <w:rsid w:val="0025163E"/>
    <w:rsid w:val="00262E86"/>
    <w:rsid w:val="00267213"/>
    <w:rsid w:val="00275C2A"/>
    <w:rsid w:val="00282B77"/>
    <w:rsid w:val="002A018D"/>
    <w:rsid w:val="002A1DCB"/>
    <w:rsid w:val="002B54D7"/>
    <w:rsid w:val="002F3739"/>
    <w:rsid w:val="003041EE"/>
    <w:rsid w:val="0032118F"/>
    <w:rsid w:val="0033021E"/>
    <w:rsid w:val="00336282"/>
    <w:rsid w:val="00336D9E"/>
    <w:rsid w:val="003420F0"/>
    <w:rsid w:val="003509AF"/>
    <w:rsid w:val="00351EB8"/>
    <w:rsid w:val="003924CE"/>
    <w:rsid w:val="00396E27"/>
    <w:rsid w:val="003B6877"/>
    <w:rsid w:val="00411F3E"/>
    <w:rsid w:val="00415F62"/>
    <w:rsid w:val="00424A74"/>
    <w:rsid w:val="00425368"/>
    <w:rsid w:val="00430587"/>
    <w:rsid w:val="004330F9"/>
    <w:rsid w:val="00447A23"/>
    <w:rsid w:val="00456FED"/>
    <w:rsid w:val="004577DA"/>
    <w:rsid w:val="0049188A"/>
    <w:rsid w:val="004C5D9B"/>
    <w:rsid w:val="004D421C"/>
    <w:rsid w:val="004D59D3"/>
    <w:rsid w:val="004D5D36"/>
    <w:rsid w:val="004E66CA"/>
    <w:rsid w:val="004F0BEE"/>
    <w:rsid w:val="005004C7"/>
    <w:rsid w:val="00502EED"/>
    <w:rsid w:val="0052338E"/>
    <w:rsid w:val="00554762"/>
    <w:rsid w:val="00566D6E"/>
    <w:rsid w:val="0057790A"/>
    <w:rsid w:val="00581B21"/>
    <w:rsid w:val="00586EC2"/>
    <w:rsid w:val="00596E0C"/>
    <w:rsid w:val="005B2539"/>
    <w:rsid w:val="005C3BFB"/>
    <w:rsid w:val="005C6142"/>
    <w:rsid w:val="005E1E8E"/>
    <w:rsid w:val="005F3769"/>
    <w:rsid w:val="0061083C"/>
    <w:rsid w:val="00680CD6"/>
    <w:rsid w:val="00681945"/>
    <w:rsid w:val="00686AA7"/>
    <w:rsid w:val="006A598F"/>
    <w:rsid w:val="006D1EE4"/>
    <w:rsid w:val="006E31FC"/>
    <w:rsid w:val="00702858"/>
    <w:rsid w:val="00706DC2"/>
    <w:rsid w:val="00733ECB"/>
    <w:rsid w:val="00736586"/>
    <w:rsid w:val="0074476D"/>
    <w:rsid w:val="00745249"/>
    <w:rsid w:val="00782DF0"/>
    <w:rsid w:val="007D76CB"/>
    <w:rsid w:val="008041D2"/>
    <w:rsid w:val="00821231"/>
    <w:rsid w:val="008512DB"/>
    <w:rsid w:val="00860750"/>
    <w:rsid w:val="008742A6"/>
    <w:rsid w:val="00876211"/>
    <w:rsid w:val="008B0757"/>
    <w:rsid w:val="008C3108"/>
    <w:rsid w:val="008F03B9"/>
    <w:rsid w:val="009338B2"/>
    <w:rsid w:val="009500F8"/>
    <w:rsid w:val="00977629"/>
    <w:rsid w:val="009938D1"/>
    <w:rsid w:val="00995642"/>
    <w:rsid w:val="009D0DEC"/>
    <w:rsid w:val="009E6B99"/>
    <w:rsid w:val="00A04839"/>
    <w:rsid w:val="00A1642E"/>
    <w:rsid w:val="00A22930"/>
    <w:rsid w:val="00A73B76"/>
    <w:rsid w:val="00B12C17"/>
    <w:rsid w:val="00B300D1"/>
    <w:rsid w:val="00B46998"/>
    <w:rsid w:val="00B62D81"/>
    <w:rsid w:val="00BA7E1D"/>
    <w:rsid w:val="00BE672B"/>
    <w:rsid w:val="00C0582A"/>
    <w:rsid w:val="00C05BE8"/>
    <w:rsid w:val="00C149A7"/>
    <w:rsid w:val="00C2724C"/>
    <w:rsid w:val="00C4222D"/>
    <w:rsid w:val="00C8674C"/>
    <w:rsid w:val="00CA1560"/>
    <w:rsid w:val="00CF36BA"/>
    <w:rsid w:val="00D0288B"/>
    <w:rsid w:val="00D219FD"/>
    <w:rsid w:val="00D30FD2"/>
    <w:rsid w:val="00D33B18"/>
    <w:rsid w:val="00D55D90"/>
    <w:rsid w:val="00D577EA"/>
    <w:rsid w:val="00D8640D"/>
    <w:rsid w:val="00D90E81"/>
    <w:rsid w:val="00D919E6"/>
    <w:rsid w:val="00DA6460"/>
    <w:rsid w:val="00DC7F4F"/>
    <w:rsid w:val="00DD27AB"/>
    <w:rsid w:val="00E03D0C"/>
    <w:rsid w:val="00E25B9E"/>
    <w:rsid w:val="00E31BEA"/>
    <w:rsid w:val="00E36E4C"/>
    <w:rsid w:val="00E54994"/>
    <w:rsid w:val="00E57199"/>
    <w:rsid w:val="00E62D31"/>
    <w:rsid w:val="00E81DCE"/>
    <w:rsid w:val="00E846CC"/>
    <w:rsid w:val="00E857C1"/>
    <w:rsid w:val="00E91B5E"/>
    <w:rsid w:val="00EC18F4"/>
    <w:rsid w:val="00EC479C"/>
    <w:rsid w:val="00EF063F"/>
    <w:rsid w:val="00F14E23"/>
    <w:rsid w:val="00F3433D"/>
    <w:rsid w:val="00F34F02"/>
    <w:rsid w:val="00F52AD1"/>
    <w:rsid w:val="00F632C5"/>
    <w:rsid w:val="00F64CAC"/>
    <w:rsid w:val="00F80629"/>
    <w:rsid w:val="00F87463"/>
    <w:rsid w:val="00FB43A9"/>
    <w:rsid w:val="00FB6947"/>
    <w:rsid w:val="00FC046C"/>
    <w:rsid w:val="00FF52A3"/>
    <w:rsid w:val="00FF5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15386B"/>
  <w15:docId w15:val="{3A12851A-5703-4F97-A3E2-58A455203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FootnoteText">
    <w:name w:val="footnote text"/>
    <w:basedOn w:val="Normal"/>
    <w:link w:val="FootnoteTextChar"/>
    <w:uiPriority w:val="99"/>
    <w:semiHidden/>
    <w:unhideWhenUsed/>
    <w:rsid w:val="00680CD6"/>
    <w:pPr>
      <w:spacing w:line="240" w:lineRule="auto"/>
    </w:pPr>
    <w:rPr>
      <w:sz w:val="20"/>
      <w:szCs w:val="20"/>
    </w:rPr>
  </w:style>
  <w:style w:type="character" w:customStyle="1" w:styleId="FootnoteTextChar">
    <w:name w:val="Footnote Text Char"/>
    <w:basedOn w:val="DefaultParagraphFont"/>
    <w:link w:val="FootnoteText"/>
    <w:uiPriority w:val="99"/>
    <w:semiHidden/>
    <w:rsid w:val="00680CD6"/>
    <w:rPr>
      <w:sz w:val="20"/>
      <w:szCs w:val="20"/>
    </w:rPr>
  </w:style>
  <w:style w:type="character" w:styleId="FootnoteReference">
    <w:name w:val="footnote reference"/>
    <w:basedOn w:val="DefaultParagraphFont"/>
    <w:unhideWhenUsed/>
    <w:rsid w:val="00680CD6"/>
    <w:rPr>
      <w:vertAlign w:val="superscript"/>
    </w:rPr>
  </w:style>
  <w:style w:type="character" w:styleId="CommentReference">
    <w:name w:val="annotation reference"/>
    <w:basedOn w:val="DefaultParagraphFont"/>
    <w:semiHidden/>
    <w:unhideWhenUsed/>
    <w:rsid w:val="00C149A7"/>
    <w:rPr>
      <w:sz w:val="16"/>
      <w:szCs w:val="16"/>
    </w:rPr>
  </w:style>
  <w:style w:type="paragraph" w:styleId="CommentText">
    <w:name w:val="annotation text"/>
    <w:basedOn w:val="Normal"/>
    <w:link w:val="CommentTextChar"/>
    <w:uiPriority w:val="99"/>
    <w:unhideWhenUsed/>
    <w:rsid w:val="00C149A7"/>
    <w:pPr>
      <w:spacing w:line="240" w:lineRule="auto"/>
    </w:pPr>
    <w:rPr>
      <w:sz w:val="20"/>
      <w:szCs w:val="20"/>
    </w:rPr>
  </w:style>
  <w:style w:type="character" w:customStyle="1" w:styleId="CommentTextChar">
    <w:name w:val="Comment Text Char"/>
    <w:basedOn w:val="DefaultParagraphFont"/>
    <w:link w:val="CommentText"/>
    <w:uiPriority w:val="99"/>
    <w:rsid w:val="00C149A7"/>
    <w:rPr>
      <w:sz w:val="20"/>
      <w:szCs w:val="20"/>
    </w:rPr>
  </w:style>
  <w:style w:type="paragraph" w:styleId="CommentSubject">
    <w:name w:val="annotation subject"/>
    <w:basedOn w:val="CommentText"/>
    <w:next w:val="CommentText"/>
    <w:link w:val="CommentSubjectChar"/>
    <w:uiPriority w:val="99"/>
    <w:semiHidden/>
    <w:unhideWhenUsed/>
    <w:rsid w:val="00C149A7"/>
    <w:rPr>
      <w:b/>
      <w:bCs/>
    </w:rPr>
  </w:style>
  <w:style w:type="character" w:customStyle="1" w:styleId="CommentSubjectChar">
    <w:name w:val="Comment Subject Char"/>
    <w:basedOn w:val="CommentTextChar"/>
    <w:link w:val="CommentSubject"/>
    <w:uiPriority w:val="99"/>
    <w:semiHidden/>
    <w:rsid w:val="00C149A7"/>
    <w:rPr>
      <w:b/>
      <w:bCs/>
      <w:sz w:val="20"/>
      <w:szCs w:val="20"/>
    </w:rPr>
  </w:style>
  <w:style w:type="paragraph" w:styleId="Revision">
    <w:name w:val="Revision"/>
    <w:hidden/>
    <w:uiPriority w:val="99"/>
    <w:semiHidden/>
    <w:rsid w:val="00C149A7"/>
    <w:pPr>
      <w:spacing w:line="240" w:lineRule="auto"/>
    </w:pPr>
  </w:style>
  <w:style w:type="character" w:styleId="Hyperlink">
    <w:name w:val="Hyperlink"/>
    <w:basedOn w:val="DefaultParagraphFont"/>
    <w:uiPriority w:val="99"/>
    <w:unhideWhenUsed/>
    <w:rsid w:val="0074476D"/>
    <w:rPr>
      <w:color w:val="0000FF" w:themeColor="hyperlink"/>
      <w:u w:val="single"/>
    </w:rPr>
  </w:style>
  <w:style w:type="character" w:styleId="UnresolvedMention">
    <w:name w:val="Unresolved Mention"/>
    <w:basedOn w:val="DefaultParagraphFont"/>
    <w:uiPriority w:val="99"/>
    <w:semiHidden/>
    <w:unhideWhenUsed/>
    <w:rsid w:val="0074476D"/>
    <w:rPr>
      <w:color w:val="605E5C"/>
      <w:shd w:val="clear" w:color="auto" w:fill="E1DFDD"/>
    </w:rPr>
  </w:style>
  <w:style w:type="paragraph" w:styleId="Header">
    <w:name w:val="header"/>
    <w:basedOn w:val="Normal"/>
    <w:link w:val="HeaderChar"/>
    <w:uiPriority w:val="99"/>
    <w:unhideWhenUsed/>
    <w:rsid w:val="00F87463"/>
    <w:pPr>
      <w:tabs>
        <w:tab w:val="center" w:pos="4680"/>
        <w:tab w:val="right" w:pos="9360"/>
      </w:tabs>
      <w:spacing w:line="240" w:lineRule="auto"/>
    </w:pPr>
  </w:style>
  <w:style w:type="character" w:customStyle="1" w:styleId="HeaderChar">
    <w:name w:val="Header Char"/>
    <w:basedOn w:val="DefaultParagraphFont"/>
    <w:link w:val="Header"/>
    <w:uiPriority w:val="99"/>
    <w:rsid w:val="00F87463"/>
  </w:style>
  <w:style w:type="paragraph" w:styleId="Footer">
    <w:name w:val="footer"/>
    <w:basedOn w:val="Normal"/>
    <w:link w:val="FooterChar"/>
    <w:uiPriority w:val="99"/>
    <w:unhideWhenUsed/>
    <w:rsid w:val="00F87463"/>
    <w:pPr>
      <w:tabs>
        <w:tab w:val="center" w:pos="4680"/>
        <w:tab w:val="right" w:pos="9360"/>
      </w:tabs>
      <w:spacing w:line="240" w:lineRule="auto"/>
    </w:pPr>
  </w:style>
  <w:style w:type="character" w:customStyle="1" w:styleId="FooterChar">
    <w:name w:val="Footer Char"/>
    <w:basedOn w:val="DefaultParagraphFont"/>
    <w:link w:val="Footer"/>
    <w:uiPriority w:val="99"/>
    <w:rsid w:val="00F874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49954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ltn.org/resources/publication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irstlightlearningjourney.net/resources/cultural-easements-and-culture-use-agreement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aam-us.org/programs/ethics-standards-and-professional-practices/unlawful-appropriation-of-objects-during-the-nazi-er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ps.gov/subjects/nagpra/index.htm"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www.law.cornell.edu/uscode/text/26/4958" TargetMode="External"/><Relationship Id="rId3" Type="http://schemas.openxmlformats.org/officeDocument/2006/relationships/hyperlink" Target="https://www.irs.gov/charities-non-profits/charitable-organizations/disaster-relief-meaning-of-charitable-class" TargetMode="External"/><Relationship Id="rId7" Type="http://schemas.openxmlformats.org/officeDocument/2006/relationships/hyperlink" Target="https://www.irs.gov/charities-non-profits/charitable-organizations/organizational-test-internal-revenue-code-section-501c3" TargetMode="External"/><Relationship Id="rId2" Type="http://schemas.openxmlformats.org/officeDocument/2006/relationships/hyperlink" Target="https://www.irs.gov/government-entities/indian-tribal-governments/itg-faq-2-answer-are-federally-recognized-tribes-considered-organizations-to-which-charitable-contributions-are-tax-deductible" TargetMode="External"/><Relationship Id="rId1" Type="http://schemas.openxmlformats.org/officeDocument/2006/relationships/hyperlink" Target="https://www.law.cornell.edu/cfr/text/26/1.501(c)(3)-1" TargetMode="External"/><Relationship Id="rId6" Type="http://schemas.openxmlformats.org/officeDocument/2006/relationships/hyperlink" Target="http://www.mainelegislature.org/legis/statutes/33/title33sec476.html" TargetMode="External"/><Relationship Id="rId5" Type="http://schemas.openxmlformats.org/officeDocument/2006/relationships/hyperlink" Target="https://s3.amazonaws.com/landtrustalliance.org/publication/files/LandTrustStandardsandPractices2017_0.pdf" TargetMode="External"/><Relationship Id="rId4" Type="http://schemas.openxmlformats.org/officeDocument/2006/relationships/hyperlink" Target="http://www.mainelegislature.org/legis/statutes/33/title33sec477-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993D73-C5DD-4EBA-977F-9AC796B69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4912</Words>
  <Characters>28001</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Levin</dc:creator>
  <cp:lastModifiedBy>Eliza Oldach</cp:lastModifiedBy>
  <cp:revision>2</cp:revision>
  <dcterms:created xsi:type="dcterms:W3CDTF">2022-07-13T21:38:00Z</dcterms:created>
  <dcterms:modified xsi:type="dcterms:W3CDTF">2022-07-13T21:38:00Z</dcterms:modified>
</cp:coreProperties>
</file>